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rPr>
          <w:rFonts w:ascii="Times New Roman" w:hAnsi="Times New Roman" w:cs="Times New Roman"/>
          <w:color w:val="auto"/>
        </w:rPr>
      </w:pPr>
      <w:bookmarkStart w:id="0" w:name="_Hlk536192060"/>
      <w:bookmarkEnd w:id="0"/>
      <w:r>
        <w:rPr>
          <w:rFonts w:ascii="Times New Roman" w:hAnsi="Times New Roman" w:cs="Times New Roman"/>
          <w:color w:val="auto"/>
        </w:rPr>
        <w:t xml:space="preserve"> </w:t>
      </w:r>
    </w:p>
    <w:p>
      <w:pPr>
        <w:spacing w:line="360" w:lineRule="auto"/>
        <w:jc w:val="center"/>
        <w:rPr>
          <w:rFonts w:ascii="Times New Roman" w:hAnsi="Times New Roman" w:cs="Times New Roman"/>
          <w:color w:val="auto"/>
        </w:rPr>
      </w:pPr>
    </w:p>
    <w:p>
      <w:pPr>
        <w:spacing w:line="360" w:lineRule="auto"/>
        <w:rPr>
          <w:rFonts w:ascii="Times New Roman" w:hAnsi="Times New Roman" w:cs="Times New Roman"/>
          <w:color w:val="auto"/>
        </w:rPr>
      </w:pPr>
    </w:p>
    <w:p>
      <w:pPr>
        <w:spacing w:line="360" w:lineRule="auto"/>
        <w:jc w:val="center"/>
        <w:rPr>
          <w:rFonts w:ascii="Times New Roman" w:hAnsi="Times New Roman" w:cs="Times New Roman"/>
          <w:color w:val="auto"/>
        </w:rPr>
      </w:pPr>
    </w:p>
    <w:p>
      <w:pPr>
        <w:spacing w:line="360" w:lineRule="auto"/>
        <w:jc w:val="center"/>
        <w:rPr>
          <w:rFonts w:ascii="Times New Roman" w:hAnsi="Times New Roman" w:eastAsia="黑体" w:cs="Times New Roman"/>
          <w:color w:val="auto"/>
          <w:sz w:val="52"/>
        </w:rPr>
      </w:pPr>
      <w:r>
        <w:rPr>
          <w:rFonts w:ascii="Times New Roman" w:hAnsi="Times New Roman" w:eastAsia="黑体" w:cs="Times New Roman"/>
          <w:color w:val="auto"/>
          <w:sz w:val="52"/>
        </w:rPr>
        <w:t>医疗废物等离子体集中</w:t>
      </w:r>
      <w:r>
        <w:rPr>
          <w:rFonts w:hint="eastAsia" w:ascii="Times New Roman" w:hAnsi="Times New Roman" w:eastAsia="黑体" w:cs="Times New Roman"/>
          <w:color w:val="auto"/>
          <w:sz w:val="52"/>
          <w:lang w:val="en-US" w:eastAsia="zh-CN"/>
        </w:rPr>
        <w:t>处理</w:t>
      </w:r>
      <w:r>
        <w:rPr>
          <w:rFonts w:ascii="Times New Roman" w:hAnsi="Times New Roman" w:eastAsia="黑体" w:cs="Times New Roman"/>
          <w:color w:val="auto"/>
          <w:sz w:val="52"/>
        </w:rPr>
        <w:t>处置</w:t>
      </w:r>
    </w:p>
    <w:p>
      <w:pPr>
        <w:spacing w:line="360" w:lineRule="auto"/>
        <w:jc w:val="center"/>
        <w:rPr>
          <w:rFonts w:ascii="Times New Roman" w:hAnsi="Times New Roman" w:eastAsia="黑体" w:cs="Times New Roman"/>
          <w:color w:val="auto"/>
          <w:sz w:val="52"/>
        </w:rPr>
      </w:pPr>
      <w:r>
        <w:rPr>
          <w:rFonts w:hint="eastAsia" w:ascii="Times New Roman" w:hAnsi="Times New Roman" w:eastAsia="黑体" w:cs="Times New Roman"/>
          <w:color w:val="auto"/>
          <w:sz w:val="52"/>
          <w:lang w:val="en-US" w:eastAsia="zh-CN"/>
        </w:rPr>
        <w:t>工程</w:t>
      </w:r>
      <w:r>
        <w:rPr>
          <w:rFonts w:ascii="Times New Roman" w:hAnsi="Times New Roman" w:eastAsia="黑体" w:cs="Times New Roman"/>
          <w:color w:val="auto"/>
          <w:sz w:val="52"/>
        </w:rPr>
        <w:t>技术规范</w:t>
      </w:r>
    </w:p>
    <w:p>
      <w:pPr>
        <w:spacing w:line="360" w:lineRule="auto"/>
        <w:jc w:val="center"/>
        <w:rPr>
          <w:rFonts w:ascii="Times New Roman" w:hAnsi="Times New Roman" w:eastAsia="黑体" w:cs="Times New Roman"/>
          <w:color w:val="auto"/>
          <w:sz w:val="52"/>
        </w:rPr>
      </w:pPr>
    </w:p>
    <w:p>
      <w:pPr>
        <w:pStyle w:val="22"/>
        <w:spacing w:before="312" w:line="240" w:lineRule="auto"/>
        <w:outlineLvl w:val="9"/>
        <w:rPr>
          <w:rFonts w:eastAsia="黑体"/>
          <w:b w:val="0"/>
          <w:color w:val="auto"/>
          <w:w w:val="95"/>
        </w:rPr>
      </w:pPr>
      <w:bookmarkStart w:id="1" w:name="_Toc18503"/>
      <w:bookmarkStart w:id="2" w:name="_Toc24746"/>
      <w:bookmarkStart w:id="3" w:name="_Toc10459"/>
      <w:bookmarkStart w:id="4" w:name="_Toc26522"/>
      <w:bookmarkStart w:id="5" w:name="_Toc14694"/>
      <w:bookmarkStart w:id="6" w:name="_Toc7783"/>
      <w:bookmarkStart w:id="7" w:name="_Toc15843"/>
      <w:r>
        <w:rPr>
          <w:rFonts w:eastAsia="黑体"/>
          <w:b w:val="0"/>
          <w:color w:val="auto"/>
          <w:w w:val="95"/>
        </w:rPr>
        <w:t>Technical specifications for centralized plasma disposal engineering on medical waste</w:t>
      </w:r>
      <w:bookmarkEnd w:id="1"/>
      <w:bookmarkEnd w:id="2"/>
      <w:bookmarkEnd w:id="3"/>
      <w:bookmarkEnd w:id="4"/>
      <w:bookmarkEnd w:id="5"/>
      <w:bookmarkEnd w:id="6"/>
      <w:bookmarkEnd w:id="7"/>
    </w:p>
    <w:p>
      <w:pPr>
        <w:spacing w:line="360" w:lineRule="auto"/>
        <w:jc w:val="center"/>
        <w:rPr>
          <w:rFonts w:ascii="Times New Roman" w:hAnsi="Times New Roman" w:eastAsia="黑体" w:cs="Times New Roman"/>
          <w:color w:val="auto"/>
          <w:sz w:val="48"/>
        </w:rPr>
      </w:pPr>
    </w:p>
    <w:p>
      <w:pPr>
        <w:spacing w:line="360" w:lineRule="auto"/>
        <w:jc w:val="center"/>
        <w:rPr>
          <w:rFonts w:ascii="Times New Roman" w:hAnsi="Times New Roman" w:eastAsia="黑体" w:cs="Times New Roman"/>
          <w:color w:val="auto"/>
          <w:sz w:val="48"/>
        </w:rPr>
      </w:pPr>
    </w:p>
    <w:p>
      <w:pPr>
        <w:spacing w:line="360" w:lineRule="auto"/>
        <w:jc w:val="center"/>
        <w:rPr>
          <w:rFonts w:ascii="Times New Roman" w:hAnsi="Times New Roman" w:eastAsia="黑体" w:cs="Times New Roman"/>
          <w:color w:val="auto"/>
          <w:sz w:val="48"/>
        </w:rPr>
      </w:pPr>
      <w:r>
        <w:rPr>
          <w:rFonts w:ascii="Times New Roman" w:hAnsi="Times New Roman" w:eastAsia="黑体" w:cs="Times New Roman"/>
          <w:color w:val="auto"/>
          <w:sz w:val="48"/>
        </w:rPr>
        <w:t>编制说明</w:t>
      </w:r>
    </w:p>
    <w:p>
      <w:pPr>
        <w:spacing w:line="360" w:lineRule="auto"/>
        <w:jc w:val="center"/>
        <w:rPr>
          <w:rFonts w:ascii="Times New Roman" w:hAnsi="Times New Roman" w:eastAsia="黑体" w:cs="Times New Roman"/>
          <w:color w:val="auto"/>
          <w:sz w:val="36"/>
        </w:rPr>
      </w:pPr>
    </w:p>
    <w:p>
      <w:pPr>
        <w:spacing w:line="360" w:lineRule="auto"/>
        <w:jc w:val="center"/>
        <w:rPr>
          <w:rFonts w:ascii="Times New Roman" w:hAnsi="Times New Roman" w:eastAsia="宋体" w:cs="Times New Roman"/>
          <w:color w:val="auto"/>
          <w:sz w:val="24"/>
        </w:rPr>
      </w:pPr>
    </w:p>
    <w:p>
      <w:pPr>
        <w:spacing w:line="360" w:lineRule="auto"/>
        <w:rPr>
          <w:rFonts w:ascii="Times New Roman" w:hAnsi="Times New Roman" w:cs="Times New Roman"/>
          <w:color w:val="auto"/>
        </w:rPr>
      </w:pPr>
    </w:p>
    <w:p>
      <w:pPr>
        <w:spacing w:line="360" w:lineRule="auto"/>
        <w:jc w:val="center"/>
        <w:rPr>
          <w:rFonts w:ascii="Times New Roman" w:hAnsi="Times New Roman" w:cs="Times New Roman"/>
          <w:color w:val="auto"/>
        </w:rPr>
      </w:pPr>
    </w:p>
    <w:p>
      <w:pPr>
        <w:spacing w:line="360" w:lineRule="auto"/>
        <w:jc w:val="center"/>
        <w:rPr>
          <w:rFonts w:ascii="Times New Roman" w:hAnsi="Times New Roman" w:cs="Times New Roman"/>
          <w:color w:val="auto"/>
        </w:rPr>
      </w:pPr>
    </w:p>
    <w:p>
      <w:pPr>
        <w:spacing w:line="360" w:lineRule="auto"/>
        <w:jc w:val="center"/>
        <w:rPr>
          <w:rFonts w:ascii="Times New Roman" w:hAnsi="Times New Roman" w:cs="Times New Roman"/>
          <w:color w:val="auto"/>
        </w:rPr>
      </w:pPr>
    </w:p>
    <w:p>
      <w:pPr>
        <w:spacing w:line="360" w:lineRule="auto"/>
        <w:jc w:val="center"/>
        <w:rPr>
          <w:rFonts w:ascii="Times New Roman" w:hAnsi="Times New Roman" w:eastAsia="黑体" w:cs="Times New Roman"/>
          <w:color w:val="auto"/>
          <w:sz w:val="36"/>
          <w:szCs w:val="44"/>
        </w:rPr>
      </w:pPr>
      <w:r>
        <w:rPr>
          <w:rFonts w:ascii="Times New Roman" w:hAnsi="Times New Roman" w:eastAsia="黑体" w:cs="Times New Roman"/>
          <w:color w:val="auto"/>
          <w:sz w:val="36"/>
          <w:szCs w:val="44"/>
        </w:rPr>
        <w:t>标准编写组</w:t>
      </w:r>
    </w:p>
    <w:p>
      <w:pPr>
        <w:spacing w:line="360" w:lineRule="auto"/>
        <w:jc w:val="center"/>
        <w:rPr>
          <w:rFonts w:ascii="Times New Roman" w:hAnsi="Times New Roman" w:eastAsia="黑体" w:cs="Times New Roman"/>
          <w:color w:val="auto"/>
          <w:sz w:val="24"/>
          <w:szCs w:val="24"/>
        </w:rPr>
      </w:pPr>
    </w:p>
    <w:p>
      <w:pPr>
        <w:spacing w:line="360" w:lineRule="auto"/>
        <w:jc w:val="center"/>
        <w:rPr>
          <w:rFonts w:ascii="Times New Roman" w:hAnsi="Times New Roman" w:eastAsia="黑体" w:cs="Times New Roman"/>
          <w:color w:val="auto"/>
          <w:sz w:val="36"/>
        </w:rPr>
      </w:pPr>
      <w:r>
        <w:rPr>
          <w:rFonts w:ascii="Times New Roman" w:hAnsi="Times New Roman" w:eastAsia="黑体" w:cs="Times New Roman"/>
          <w:color w:val="auto"/>
          <w:sz w:val="36"/>
        </w:rPr>
        <w:t>202</w:t>
      </w:r>
      <w:r>
        <w:rPr>
          <w:rFonts w:hint="eastAsia" w:ascii="Times New Roman" w:hAnsi="Times New Roman" w:eastAsia="黑体" w:cs="Times New Roman"/>
          <w:color w:val="auto"/>
          <w:sz w:val="36"/>
        </w:rPr>
        <w:t>3</w:t>
      </w:r>
      <w:r>
        <w:rPr>
          <w:rFonts w:ascii="Times New Roman" w:hAnsi="Times New Roman" w:eastAsia="黑体" w:cs="Times New Roman"/>
          <w:color w:val="auto"/>
          <w:sz w:val="36"/>
        </w:rPr>
        <w:t>年</w:t>
      </w:r>
      <w:r>
        <w:rPr>
          <w:rFonts w:hint="eastAsia" w:ascii="Times New Roman" w:hAnsi="Times New Roman" w:eastAsia="黑体" w:cs="Times New Roman"/>
          <w:color w:val="auto"/>
          <w:sz w:val="36"/>
          <w:lang w:val="en-US" w:eastAsia="zh-CN"/>
        </w:rPr>
        <w:t>12</w:t>
      </w:r>
      <w:r>
        <w:rPr>
          <w:rFonts w:ascii="Times New Roman" w:hAnsi="Times New Roman" w:eastAsia="黑体" w:cs="Times New Roman"/>
          <w:color w:val="auto"/>
          <w:sz w:val="36"/>
        </w:rPr>
        <w:t>月</w:t>
      </w:r>
    </w:p>
    <w:p>
      <w:pPr>
        <w:rPr>
          <w:rFonts w:ascii="Times New Roman" w:hAnsi="Times New Roman" w:cs="Times New Roman"/>
          <w:color w:val="auto"/>
        </w:rPr>
      </w:pPr>
    </w:p>
    <w:p>
      <w:pPr>
        <w:rPr>
          <w:rFonts w:ascii="Times New Roman" w:hAnsi="Times New Roman" w:cs="Times New Roman"/>
          <w:color w:val="auto"/>
        </w:rPr>
        <w:sectPr>
          <w:footerReference r:id="rId3" w:type="default"/>
          <w:pgSz w:w="11906" w:h="16838"/>
          <w:pgMar w:top="1440" w:right="1800" w:bottom="1440" w:left="1800" w:header="851" w:footer="992" w:gutter="0"/>
          <w:cols w:space="425" w:num="1"/>
          <w:docGrid w:type="lines" w:linePitch="312" w:charSpace="0"/>
        </w:sectPr>
      </w:pPr>
    </w:p>
    <w:sdt>
      <w:sdtPr>
        <w:rPr>
          <w:rFonts w:ascii="Times New Roman" w:hAnsi="Times New Roman" w:cs="Times New Roman" w:eastAsiaTheme="minorEastAsia"/>
          <w:color w:val="auto"/>
          <w:kern w:val="2"/>
          <w:sz w:val="21"/>
          <w:szCs w:val="22"/>
          <w:lang w:val="zh-CN"/>
        </w:rPr>
        <w:id w:val="106786970"/>
        <w:docPartObj>
          <w:docPartGallery w:val="Table of Contents"/>
          <w:docPartUnique/>
        </w:docPartObj>
      </w:sdtPr>
      <w:sdtEndPr>
        <w:rPr>
          <w:rFonts w:ascii="Times New Roman" w:hAnsi="Times New Roman" w:cs="Times New Roman" w:eastAsiaTheme="minorEastAsia"/>
          <w:b/>
          <w:bCs/>
          <w:color w:val="auto"/>
          <w:kern w:val="2"/>
          <w:sz w:val="21"/>
          <w:szCs w:val="22"/>
          <w:lang w:val="zh-CN"/>
        </w:rPr>
      </w:sdtEndPr>
      <w:sdtContent>
        <w:p>
          <w:pPr>
            <w:pStyle w:val="39"/>
            <w:jc w:val="center"/>
            <w:rPr>
              <w:rFonts w:ascii="Times New Roman" w:hAnsi="Times New Roman" w:cs="Times New Roman"/>
              <w:color w:val="auto"/>
            </w:rPr>
          </w:pPr>
          <w:r>
            <w:rPr>
              <w:rFonts w:ascii="Times New Roman" w:hAnsi="Times New Roman" w:cs="Times New Roman"/>
              <w:color w:val="auto"/>
              <w:lang w:val="zh-CN"/>
            </w:rPr>
            <w:t>目录</w:t>
          </w:r>
        </w:p>
        <w:p>
          <w:pPr>
            <w:pStyle w:val="12"/>
            <w:tabs>
              <w:tab w:val="right" w:leader="dot" w:pos="8306"/>
              <w:tab w:val="clear" w:pos="420"/>
              <w:tab w:val="clear" w:pos="8296"/>
            </w:tabs>
          </w:pPr>
          <w:r>
            <w:rPr>
              <w:rFonts w:ascii="Times New Roman" w:hAnsi="Times New Roman" w:cs="Times New Roman"/>
              <w:color w:val="auto"/>
            </w:rPr>
            <w:fldChar w:fldCharType="begin"/>
          </w:r>
          <w:r>
            <w:rPr>
              <w:rFonts w:ascii="Times New Roman" w:hAnsi="Times New Roman" w:cs="Times New Roman"/>
              <w:color w:val="auto"/>
            </w:rPr>
            <w:instrText xml:space="preserve"> TOC \o "1-3" \h \z \u </w:instrText>
          </w:r>
          <w:r>
            <w:rPr>
              <w:rFonts w:ascii="Times New Roman" w:hAnsi="Times New Roman" w:cs="Times New Roman"/>
              <w:color w:val="auto"/>
            </w:rPr>
            <w:fldChar w:fldCharType="separate"/>
          </w:r>
          <w:bookmarkStart w:id="137" w:name="_GoBack"/>
          <w:bookmarkEnd w:id="137"/>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_Toc28556 </w:instrText>
          </w:r>
          <w:r>
            <w:rPr>
              <w:rFonts w:ascii="Times New Roman" w:hAnsi="Times New Roman" w:cs="Times New Roman"/>
              <w:bCs/>
              <w:lang w:val="zh-CN"/>
            </w:rPr>
            <w:fldChar w:fldCharType="separate"/>
          </w:r>
          <w:r>
            <w:rPr>
              <w:rFonts w:hint="eastAsia" w:ascii="Times New Roman" w:hAnsi="Times New Roman" w:cs="Times New Roman"/>
            </w:rPr>
            <w:t xml:space="preserve">1 </w:t>
          </w:r>
          <w:r>
            <w:rPr>
              <w:rFonts w:ascii="Times New Roman" w:hAnsi="Times New Roman" w:cs="Times New Roman"/>
            </w:rPr>
            <w:t>项目背景</w:t>
          </w:r>
          <w:r>
            <w:tab/>
          </w:r>
          <w:r>
            <w:fldChar w:fldCharType="begin"/>
          </w:r>
          <w:r>
            <w:instrText xml:space="preserve"> PAGEREF _Toc28556 \h </w:instrText>
          </w:r>
          <w:r>
            <w:fldChar w:fldCharType="separate"/>
          </w:r>
          <w:r>
            <w:t>1</w:t>
          </w:r>
          <w:r>
            <w:fldChar w:fldCharType="end"/>
          </w:r>
          <w:r>
            <w:rPr>
              <w:rFonts w:ascii="Times New Roman" w:hAnsi="Times New Roman" w:cs="Times New Roman"/>
              <w:bCs/>
              <w:color w:val="auto"/>
              <w:lang w:val="zh-CN"/>
            </w:rPr>
            <w:fldChar w:fldCharType="end"/>
          </w:r>
        </w:p>
        <w:p>
          <w:pPr>
            <w:pStyle w:val="13"/>
            <w:tabs>
              <w:tab w:val="right" w:leader="dot" w:pos="8306"/>
              <w:tab w:val="clear" w:pos="105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_Toc27394 </w:instrText>
          </w:r>
          <w:r>
            <w:rPr>
              <w:rFonts w:ascii="Times New Roman" w:hAnsi="Times New Roman" w:cs="Times New Roman"/>
              <w:bCs/>
              <w:lang w:val="zh-CN"/>
            </w:rPr>
            <w:fldChar w:fldCharType="separate"/>
          </w:r>
          <w:r>
            <w:rPr>
              <w:rFonts w:hint="eastAsia" w:cs="Times New Roman"/>
            </w:rPr>
            <w:t xml:space="preserve">1.1 </w:t>
          </w:r>
          <w:r>
            <w:rPr>
              <w:rFonts w:cs="Times New Roman"/>
            </w:rPr>
            <w:t>任务来源</w:t>
          </w:r>
          <w:r>
            <w:tab/>
          </w:r>
          <w:r>
            <w:fldChar w:fldCharType="begin"/>
          </w:r>
          <w:r>
            <w:instrText xml:space="preserve"> PAGEREF _Toc27394 \h </w:instrText>
          </w:r>
          <w:r>
            <w:fldChar w:fldCharType="separate"/>
          </w:r>
          <w:r>
            <w:t>1</w:t>
          </w:r>
          <w:r>
            <w:fldChar w:fldCharType="end"/>
          </w:r>
          <w:r>
            <w:rPr>
              <w:rFonts w:ascii="Times New Roman" w:hAnsi="Times New Roman" w:cs="Times New Roman"/>
              <w:bCs/>
              <w:color w:val="auto"/>
              <w:lang w:val="zh-CN"/>
            </w:rPr>
            <w:fldChar w:fldCharType="end"/>
          </w:r>
        </w:p>
        <w:p>
          <w:pPr>
            <w:pStyle w:val="13"/>
            <w:tabs>
              <w:tab w:val="right" w:leader="dot" w:pos="8306"/>
              <w:tab w:val="clear" w:pos="105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_Toc22649 </w:instrText>
          </w:r>
          <w:r>
            <w:rPr>
              <w:rFonts w:ascii="Times New Roman" w:hAnsi="Times New Roman" w:cs="Times New Roman"/>
              <w:bCs/>
              <w:lang w:val="zh-CN"/>
            </w:rPr>
            <w:fldChar w:fldCharType="separate"/>
          </w:r>
          <w:r>
            <w:rPr>
              <w:rFonts w:hint="eastAsia" w:cs="Times New Roman"/>
            </w:rPr>
            <w:t xml:space="preserve">1.2 </w:t>
          </w:r>
          <w:r>
            <w:rPr>
              <w:rFonts w:hint="eastAsia" w:cs="Times New Roman"/>
              <w:highlight w:val="none"/>
              <w:lang w:val="en-US" w:eastAsia="zh-CN"/>
            </w:rPr>
            <w:t>编制</w:t>
          </w:r>
          <w:r>
            <w:rPr>
              <w:rFonts w:cs="Times New Roman"/>
              <w:highlight w:val="none"/>
            </w:rPr>
            <w:t>过程</w:t>
          </w:r>
          <w:r>
            <w:tab/>
          </w:r>
          <w:r>
            <w:fldChar w:fldCharType="begin"/>
          </w:r>
          <w:r>
            <w:instrText xml:space="preserve"> PAGEREF _Toc22649 \h </w:instrText>
          </w:r>
          <w:r>
            <w:fldChar w:fldCharType="separate"/>
          </w:r>
          <w:r>
            <w:t>2</w:t>
          </w:r>
          <w:r>
            <w:fldChar w:fldCharType="end"/>
          </w:r>
          <w:r>
            <w:rPr>
              <w:rFonts w:ascii="Times New Roman" w:hAnsi="Times New Roman" w:cs="Times New Roman"/>
              <w:bCs/>
              <w:color w:val="auto"/>
              <w:lang w:val="zh-CN"/>
            </w:rPr>
            <w:fldChar w:fldCharType="end"/>
          </w:r>
        </w:p>
        <w:p>
          <w:pPr>
            <w:pStyle w:val="12"/>
            <w:tabs>
              <w:tab w:val="right" w:leader="dot" w:pos="8306"/>
              <w:tab w:val="clear" w:pos="42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_Toc31997 </w:instrText>
          </w:r>
          <w:r>
            <w:rPr>
              <w:rFonts w:ascii="Times New Roman" w:hAnsi="Times New Roman" w:cs="Times New Roman"/>
              <w:bCs/>
              <w:lang w:val="zh-CN"/>
            </w:rPr>
            <w:fldChar w:fldCharType="separate"/>
          </w:r>
          <w:r>
            <w:rPr>
              <w:rFonts w:hint="eastAsia" w:ascii="Times New Roman" w:hAnsi="Times New Roman" w:cs="Times New Roman"/>
            </w:rPr>
            <w:t xml:space="preserve">2 </w:t>
          </w:r>
          <w:r>
            <w:rPr>
              <w:rFonts w:ascii="Times New Roman" w:hAnsi="Times New Roman" w:cs="Times New Roman"/>
            </w:rPr>
            <w:t>医疗废物处置现状</w:t>
          </w:r>
          <w:r>
            <w:tab/>
          </w:r>
          <w:r>
            <w:fldChar w:fldCharType="begin"/>
          </w:r>
          <w:r>
            <w:instrText xml:space="preserve"> PAGEREF _Toc31997 \h </w:instrText>
          </w:r>
          <w:r>
            <w:fldChar w:fldCharType="separate"/>
          </w:r>
          <w:r>
            <w:t>4</w:t>
          </w:r>
          <w:r>
            <w:fldChar w:fldCharType="end"/>
          </w:r>
          <w:r>
            <w:rPr>
              <w:rFonts w:ascii="Times New Roman" w:hAnsi="Times New Roman" w:cs="Times New Roman"/>
              <w:bCs/>
              <w:color w:val="auto"/>
              <w:lang w:val="zh-CN"/>
            </w:rPr>
            <w:fldChar w:fldCharType="end"/>
          </w:r>
        </w:p>
        <w:p>
          <w:pPr>
            <w:pStyle w:val="13"/>
            <w:tabs>
              <w:tab w:val="right" w:leader="dot" w:pos="8306"/>
              <w:tab w:val="clear" w:pos="105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_Toc25452 </w:instrText>
          </w:r>
          <w:r>
            <w:rPr>
              <w:rFonts w:ascii="Times New Roman" w:hAnsi="Times New Roman" w:cs="Times New Roman"/>
              <w:bCs/>
              <w:lang w:val="zh-CN"/>
            </w:rPr>
            <w:fldChar w:fldCharType="separate"/>
          </w:r>
          <w:r>
            <w:rPr>
              <w:rFonts w:hint="eastAsia" w:cs="Times New Roman"/>
            </w:rPr>
            <w:t xml:space="preserve">2.1 </w:t>
          </w:r>
          <w:r>
            <w:rPr>
              <w:rFonts w:cs="Times New Roman"/>
            </w:rPr>
            <w:t>医疗废物分类及特性</w:t>
          </w:r>
          <w:r>
            <w:tab/>
          </w:r>
          <w:r>
            <w:fldChar w:fldCharType="begin"/>
          </w:r>
          <w:r>
            <w:instrText xml:space="preserve"> PAGEREF _Toc25452 \h </w:instrText>
          </w:r>
          <w:r>
            <w:fldChar w:fldCharType="separate"/>
          </w:r>
          <w:r>
            <w:t>4</w:t>
          </w:r>
          <w:r>
            <w:fldChar w:fldCharType="end"/>
          </w:r>
          <w:r>
            <w:rPr>
              <w:rFonts w:ascii="Times New Roman" w:hAnsi="Times New Roman" w:cs="Times New Roman"/>
              <w:bCs/>
              <w:color w:val="auto"/>
              <w:lang w:val="zh-CN"/>
            </w:rPr>
            <w:fldChar w:fldCharType="end"/>
          </w:r>
        </w:p>
        <w:p>
          <w:pPr>
            <w:pStyle w:val="7"/>
            <w:tabs>
              <w:tab w:val="right" w:leader="dot" w:pos="8306"/>
              <w:tab w:val="clear" w:pos="168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_Toc9244 </w:instrText>
          </w:r>
          <w:r>
            <w:rPr>
              <w:rFonts w:ascii="Times New Roman" w:hAnsi="Times New Roman" w:cs="Times New Roman"/>
              <w:bCs/>
              <w:lang w:val="zh-CN"/>
            </w:rPr>
            <w:fldChar w:fldCharType="separate"/>
          </w:r>
          <w:r>
            <w:rPr>
              <w:rFonts w:hint="eastAsia" w:cs="Times New Roman"/>
            </w:rPr>
            <w:t xml:space="preserve">2.1.1 </w:t>
          </w:r>
          <w:r>
            <w:rPr>
              <w:rFonts w:cs="Times New Roman"/>
            </w:rPr>
            <w:t>医疗废物</w:t>
          </w:r>
          <w:r>
            <w:rPr>
              <w:rFonts w:hint="eastAsia" w:cs="Times New Roman"/>
            </w:rPr>
            <w:t>定义与</w:t>
          </w:r>
          <w:r>
            <w:rPr>
              <w:rFonts w:cs="Times New Roman"/>
            </w:rPr>
            <w:t>分类</w:t>
          </w:r>
          <w:r>
            <w:tab/>
          </w:r>
          <w:r>
            <w:fldChar w:fldCharType="begin"/>
          </w:r>
          <w:r>
            <w:instrText xml:space="preserve"> PAGEREF _Toc9244 \h </w:instrText>
          </w:r>
          <w:r>
            <w:fldChar w:fldCharType="separate"/>
          </w:r>
          <w:r>
            <w:t>4</w:t>
          </w:r>
          <w:r>
            <w:fldChar w:fldCharType="end"/>
          </w:r>
          <w:r>
            <w:rPr>
              <w:rFonts w:ascii="Times New Roman" w:hAnsi="Times New Roman" w:cs="Times New Roman"/>
              <w:bCs/>
              <w:color w:val="auto"/>
              <w:lang w:val="zh-CN"/>
            </w:rPr>
            <w:fldChar w:fldCharType="end"/>
          </w:r>
        </w:p>
        <w:p>
          <w:pPr>
            <w:pStyle w:val="7"/>
            <w:tabs>
              <w:tab w:val="right" w:leader="dot" w:pos="8306"/>
              <w:tab w:val="clear" w:pos="168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_Toc30273 </w:instrText>
          </w:r>
          <w:r>
            <w:rPr>
              <w:rFonts w:ascii="Times New Roman" w:hAnsi="Times New Roman" w:cs="Times New Roman"/>
              <w:bCs/>
              <w:lang w:val="zh-CN"/>
            </w:rPr>
            <w:fldChar w:fldCharType="separate"/>
          </w:r>
          <w:r>
            <w:rPr>
              <w:rFonts w:hint="eastAsia" w:cs="Times New Roman"/>
            </w:rPr>
            <w:t xml:space="preserve">2.1.2 </w:t>
          </w:r>
          <w:r>
            <w:rPr>
              <w:rFonts w:cs="Times New Roman"/>
            </w:rPr>
            <w:t>医疗废物的危险特性</w:t>
          </w:r>
          <w:r>
            <w:tab/>
          </w:r>
          <w:r>
            <w:fldChar w:fldCharType="begin"/>
          </w:r>
          <w:r>
            <w:instrText xml:space="preserve"> PAGEREF _Toc30273 \h </w:instrText>
          </w:r>
          <w:r>
            <w:fldChar w:fldCharType="separate"/>
          </w:r>
          <w:r>
            <w:t>6</w:t>
          </w:r>
          <w:r>
            <w:fldChar w:fldCharType="end"/>
          </w:r>
          <w:r>
            <w:rPr>
              <w:rFonts w:ascii="Times New Roman" w:hAnsi="Times New Roman" w:cs="Times New Roman"/>
              <w:bCs/>
              <w:color w:val="auto"/>
              <w:lang w:val="zh-CN"/>
            </w:rPr>
            <w:fldChar w:fldCharType="end"/>
          </w:r>
        </w:p>
        <w:p>
          <w:pPr>
            <w:pStyle w:val="13"/>
            <w:tabs>
              <w:tab w:val="right" w:leader="dot" w:pos="8306"/>
              <w:tab w:val="clear" w:pos="105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_Toc12962 </w:instrText>
          </w:r>
          <w:r>
            <w:rPr>
              <w:rFonts w:ascii="Times New Roman" w:hAnsi="Times New Roman" w:cs="Times New Roman"/>
              <w:bCs/>
              <w:lang w:val="zh-CN"/>
            </w:rPr>
            <w:fldChar w:fldCharType="separate"/>
          </w:r>
          <w:r>
            <w:rPr>
              <w:rFonts w:hint="eastAsia" w:cs="Times New Roman"/>
            </w:rPr>
            <w:t xml:space="preserve">2.2 </w:t>
          </w:r>
          <w:r>
            <w:rPr>
              <w:rFonts w:cs="Times New Roman"/>
            </w:rPr>
            <w:t>医疗废物产生量和处置量</w:t>
          </w:r>
          <w:r>
            <w:tab/>
          </w:r>
          <w:r>
            <w:fldChar w:fldCharType="begin"/>
          </w:r>
          <w:r>
            <w:instrText xml:space="preserve"> PAGEREF _Toc12962 \h </w:instrText>
          </w:r>
          <w:r>
            <w:fldChar w:fldCharType="separate"/>
          </w:r>
          <w:r>
            <w:t>7</w:t>
          </w:r>
          <w:r>
            <w:fldChar w:fldCharType="end"/>
          </w:r>
          <w:r>
            <w:rPr>
              <w:rFonts w:ascii="Times New Roman" w:hAnsi="Times New Roman" w:cs="Times New Roman"/>
              <w:bCs/>
              <w:color w:val="auto"/>
              <w:lang w:val="zh-CN"/>
            </w:rPr>
            <w:fldChar w:fldCharType="end"/>
          </w:r>
        </w:p>
        <w:p>
          <w:pPr>
            <w:pStyle w:val="7"/>
            <w:tabs>
              <w:tab w:val="right" w:leader="dot" w:pos="8306"/>
              <w:tab w:val="clear" w:pos="168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_Toc22206 </w:instrText>
          </w:r>
          <w:r>
            <w:rPr>
              <w:rFonts w:ascii="Times New Roman" w:hAnsi="Times New Roman" w:cs="Times New Roman"/>
              <w:bCs/>
              <w:lang w:val="zh-CN"/>
            </w:rPr>
            <w:fldChar w:fldCharType="separate"/>
          </w:r>
          <w:r>
            <w:rPr>
              <w:rFonts w:hint="eastAsia"/>
            </w:rPr>
            <w:t>2.2.1 全国医疗废物产生及处置情况</w:t>
          </w:r>
          <w:r>
            <w:tab/>
          </w:r>
          <w:r>
            <w:fldChar w:fldCharType="begin"/>
          </w:r>
          <w:r>
            <w:instrText xml:space="preserve"> PAGEREF _Toc22206 \h </w:instrText>
          </w:r>
          <w:r>
            <w:fldChar w:fldCharType="separate"/>
          </w:r>
          <w:r>
            <w:t>7</w:t>
          </w:r>
          <w:r>
            <w:fldChar w:fldCharType="end"/>
          </w:r>
          <w:r>
            <w:rPr>
              <w:rFonts w:ascii="Times New Roman" w:hAnsi="Times New Roman" w:cs="Times New Roman"/>
              <w:bCs/>
              <w:color w:val="auto"/>
              <w:lang w:val="zh-CN"/>
            </w:rPr>
            <w:fldChar w:fldCharType="end"/>
          </w:r>
        </w:p>
        <w:p>
          <w:pPr>
            <w:pStyle w:val="7"/>
            <w:tabs>
              <w:tab w:val="right" w:leader="dot" w:pos="8306"/>
              <w:tab w:val="clear" w:pos="168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_Toc18850 </w:instrText>
          </w:r>
          <w:r>
            <w:rPr>
              <w:rFonts w:ascii="Times New Roman" w:hAnsi="Times New Roman" w:cs="Times New Roman"/>
              <w:bCs/>
              <w:lang w:val="zh-CN"/>
            </w:rPr>
            <w:fldChar w:fldCharType="separate"/>
          </w:r>
          <w:r>
            <w:rPr>
              <w:rFonts w:hint="eastAsia"/>
            </w:rPr>
            <w:t>2.2.2 江苏省医疗废物产生及处置情况</w:t>
          </w:r>
          <w:r>
            <w:tab/>
          </w:r>
          <w:r>
            <w:fldChar w:fldCharType="begin"/>
          </w:r>
          <w:r>
            <w:instrText xml:space="preserve"> PAGEREF _Toc18850 \h </w:instrText>
          </w:r>
          <w:r>
            <w:fldChar w:fldCharType="separate"/>
          </w:r>
          <w:r>
            <w:t>9</w:t>
          </w:r>
          <w:r>
            <w:fldChar w:fldCharType="end"/>
          </w:r>
          <w:r>
            <w:rPr>
              <w:rFonts w:ascii="Times New Roman" w:hAnsi="Times New Roman" w:cs="Times New Roman"/>
              <w:bCs/>
              <w:color w:val="auto"/>
              <w:lang w:val="zh-CN"/>
            </w:rPr>
            <w:fldChar w:fldCharType="end"/>
          </w:r>
        </w:p>
        <w:p>
          <w:pPr>
            <w:pStyle w:val="13"/>
            <w:tabs>
              <w:tab w:val="right" w:leader="dot" w:pos="8306"/>
              <w:tab w:val="clear" w:pos="105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_Toc21124 </w:instrText>
          </w:r>
          <w:r>
            <w:rPr>
              <w:rFonts w:ascii="Times New Roman" w:hAnsi="Times New Roman" w:cs="Times New Roman"/>
              <w:bCs/>
              <w:lang w:val="zh-CN"/>
            </w:rPr>
            <w:fldChar w:fldCharType="separate"/>
          </w:r>
          <w:r>
            <w:rPr>
              <w:rFonts w:hint="eastAsia" w:cs="Times New Roman"/>
            </w:rPr>
            <w:t xml:space="preserve">2.3 </w:t>
          </w:r>
          <w:r>
            <w:rPr>
              <w:rFonts w:cs="Times New Roman"/>
            </w:rPr>
            <w:t>医疗废物处置技术</w:t>
          </w:r>
          <w:r>
            <w:tab/>
          </w:r>
          <w:r>
            <w:fldChar w:fldCharType="begin"/>
          </w:r>
          <w:r>
            <w:instrText xml:space="preserve"> PAGEREF _Toc21124 \h </w:instrText>
          </w:r>
          <w:r>
            <w:fldChar w:fldCharType="separate"/>
          </w:r>
          <w:r>
            <w:t>11</w:t>
          </w:r>
          <w:r>
            <w:fldChar w:fldCharType="end"/>
          </w:r>
          <w:r>
            <w:rPr>
              <w:rFonts w:ascii="Times New Roman" w:hAnsi="Times New Roman" w:cs="Times New Roman"/>
              <w:bCs/>
              <w:color w:val="auto"/>
              <w:lang w:val="zh-CN"/>
            </w:rPr>
            <w:fldChar w:fldCharType="end"/>
          </w:r>
        </w:p>
        <w:p>
          <w:pPr>
            <w:pStyle w:val="7"/>
            <w:tabs>
              <w:tab w:val="right" w:leader="dot" w:pos="8306"/>
              <w:tab w:val="clear" w:pos="168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_Toc21924 </w:instrText>
          </w:r>
          <w:r>
            <w:rPr>
              <w:rFonts w:ascii="Times New Roman" w:hAnsi="Times New Roman" w:cs="Times New Roman"/>
              <w:bCs/>
              <w:lang w:val="zh-CN"/>
            </w:rPr>
            <w:fldChar w:fldCharType="separate"/>
          </w:r>
          <w:r>
            <w:rPr>
              <w:rFonts w:hint="eastAsia"/>
              <w:lang w:val="zh-CN"/>
            </w:rPr>
            <w:t xml:space="preserve">2.3.1 </w:t>
          </w:r>
          <w:r>
            <w:rPr>
              <w:lang w:val="zh-CN"/>
            </w:rPr>
            <w:t>医疗废物低温无害化处理技术</w:t>
          </w:r>
          <w:r>
            <w:tab/>
          </w:r>
          <w:r>
            <w:fldChar w:fldCharType="begin"/>
          </w:r>
          <w:r>
            <w:instrText xml:space="preserve"> PAGEREF _Toc21924 \h </w:instrText>
          </w:r>
          <w:r>
            <w:fldChar w:fldCharType="separate"/>
          </w:r>
          <w:r>
            <w:t>11</w:t>
          </w:r>
          <w:r>
            <w:fldChar w:fldCharType="end"/>
          </w:r>
          <w:r>
            <w:rPr>
              <w:rFonts w:ascii="Times New Roman" w:hAnsi="Times New Roman" w:cs="Times New Roman"/>
              <w:bCs/>
              <w:color w:val="auto"/>
              <w:lang w:val="zh-CN"/>
            </w:rPr>
            <w:fldChar w:fldCharType="end"/>
          </w:r>
        </w:p>
        <w:p>
          <w:pPr>
            <w:pStyle w:val="7"/>
            <w:tabs>
              <w:tab w:val="right" w:leader="dot" w:pos="8306"/>
              <w:tab w:val="clear" w:pos="168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_Toc27552 </w:instrText>
          </w:r>
          <w:r>
            <w:rPr>
              <w:rFonts w:ascii="Times New Roman" w:hAnsi="Times New Roman" w:cs="Times New Roman"/>
              <w:bCs/>
              <w:lang w:val="zh-CN"/>
            </w:rPr>
            <w:fldChar w:fldCharType="separate"/>
          </w:r>
          <w:r>
            <w:rPr>
              <w:rFonts w:hint="eastAsia" w:cs="Times New Roman"/>
              <w:lang w:val="zh-CN"/>
            </w:rPr>
            <w:t xml:space="preserve">2.3.2 </w:t>
          </w:r>
          <w:r>
            <w:rPr>
              <w:rFonts w:cs="Times New Roman"/>
              <w:lang w:val="zh-CN"/>
            </w:rPr>
            <w:t>医疗废物高温热处理无害化处置技术</w:t>
          </w:r>
          <w:r>
            <w:tab/>
          </w:r>
          <w:r>
            <w:fldChar w:fldCharType="begin"/>
          </w:r>
          <w:r>
            <w:instrText xml:space="preserve"> PAGEREF _Toc27552 \h </w:instrText>
          </w:r>
          <w:r>
            <w:fldChar w:fldCharType="separate"/>
          </w:r>
          <w:r>
            <w:t>13</w:t>
          </w:r>
          <w:r>
            <w:fldChar w:fldCharType="end"/>
          </w:r>
          <w:r>
            <w:rPr>
              <w:rFonts w:ascii="Times New Roman" w:hAnsi="Times New Roman" w:cs="Times New Roman"/>
              <w:bCs/>
              <w:color w:val="auto"/>
              <w:lang w:val="zh-CN"/>
            </w:rPr>
            <w:fldChar w:fldCharType="end"/>
          </w:r>
        </w:p>
        <w:p>
          <w:pPr>
            <w:pStyle w:val="7"/>
            <w:tabs>
              <w:tab w:val="right" w:leader="dot" w:pos="8306"/>
              <w:tab w:val="clear" w:pos="168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_Toc8582 </w:instrText>
          </w:r>
          <w:r>
            <w:rPr>
              <w:rFonts w:ascii="Times New Roman" w:hAnsi="Times New Roman" w:cs="Times New Roman"/>
              <w:bCs/>
              <w:lang w:val="zh-CN"/>
            </w:rPr>
            <w:fldChar w:fldCharType="separate"/>
          </w:r>
          <w:r>
            <w:rPr>
              <w:rFonts w:hint="eastAsia" w:cs="Times New Roman"/>
              <w:lang w:val="zh-CN"/>
            </w:rPr>
            <w:t xml:space="preserve">2.3.3 </w:t>
          </w:r>
          <w:r>
            <w:rPr>
              <w:rFonts w:cs="Times New Roman"/>
              <w:lang w:val="zh-CN"/>
            </w:rPr>
            <w:t>各种医疗废物处置技术的比较</w:t>
          </w:r>
          <w:r>
            <w:tab/>
          </w:r>
          <w:r>
            <w:fldChar w:fldCharType="begin"/>
          </w:r>
          <w:r>
            <w:instrText xml:space="preserve"> PAGEREF _Toc8582 \h </w:instrText>
          </w:r>
          <w:r>
            <w:fldChar w:fldCharType="separate"/>
          </w:r>
          <w:r>
            <w:t>18</w:t>
          </w:r>
          <w:r>
            <w:fldChar w:fldCharType="end"/>
          </w:r>
          <w:r>
            <w:rPr>
              <w:rFonts w:ascii="Times New Roman" w:hAnsi="Times New Roman" w:cs="Times New Roman"/>
              <w:bCs/>
              <w:color w:val="auto"/>
              <w:lang w:val="zh-CN"/>
            </w:rPr>
            <w:fldChar w:fldCharType="end"/>
          </w:r>
        </w:p>
        <w:p>
          <w:pPr>
            <w:pStyle w:val="13"/>
            <w:tabs>
              <w:tab w:val="right" w:leader="dot" w:pos="8306"/>
              <w:tab w:val="clear" w:pos="105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_Toc22133 </w:instrText>
          </w:r>
          <w:r>
            <w:rPr>
              <w:rFonts w:ascii="Times New Roman" w:hAnsi="Times New Roman" w:cs="Times New Roman"/>
              <w:bCs/>
              <w:lang w:val="zh-CN"/>
            </w:rPr>
            <w:fldChar w:fldCharType="separate"/>
          </w:r>
          <w:r>
            <w:rPr>
              <w:rFonts w:hint="eastAsia" w:cs="Times New Roman"/>
            </w:rPr>
            <w:t xml:space="preserve">2.4 </w:t>
          </w:r>
          <w:r>
            <w:rPr>
              <w:rFonts w:cs="Times New Roman"/>
            </w:rPr>
            <w:t>医疗废物无害化处置技术发展趋势</w:t>
          </w:r>
          <w:r>
            <w:tab/>
          </w:r>
          <w:r>
            <w:fldChar w:fldCharType="begin"/>
          </w:r>
          <w:r>
            <w:instrText xml:space="preserve"> PAGEREF _Toc22133 \h </w:instrText>
          </w:r>
          <w:r>
            <w:fldChar w:fldCharType="separate"/>
          </w:r>
          <w:r>
            <w:t>21</w:t>
          </w:r>
          <w:r>
            <w:fldChar w:fldCharType="end"/>
          </w:r>
          <w:r>
            <w:rPr>
              <w:rFonts w:ascii="Times New Roman" w:hAnsi="Times New Roman" w:cs="Times New Roman"/>
              <w:bCs/>
              <w:color w:val="auto"/>
              <w:lang w:val="zh-CN"/>
            </w:rPr>
            <w:fldChar w:fldCharType="end"/>
          </w:r>
        </w:p>
        <w:p>
          <w:pPr>
            <w:pStyle w:val="13"/>
            <w:tabs>
              <w:tab w:val="right" w:leader="dot" w:pos="8306"/>
              <w:tab w:val="clear" w:pos="105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_Toc14641 </w:instrText>
          </w:r>
          <w:r>
            <w:rPr>
              <w:rFonts w:ascii="Times New Roman" w:hAnsi="Times New Roman" w:cs="Times New Roman"/>
              <w:bCs/>
              <w:lang w:val="zh-CN"/>
            </w:rPr>
            <w:fldChar w:fldCharType="separate"/>
          </w:r>
          <w:r>
            <w:rPr>
              <w:rFonts w:hint="eastAsia" w:cs="Times New Roman"/>
            </w:rPr>
            <w:t xml:space="preserve">2.5 </w:t>
          </w:r>
          <w:r>
            <w:rPr>
              <w:rFonts w:cs="Times New Roman"/>
            </w:rPr>
            <w:t>医疗废物等离子体处置技术</w:t>
          </w:r>
          <w:r>
            <w:tab/>
          </w:r>
          <w:r>
            <w:fldChar w:fldCharType="begin"/>
          </w:r>
          <w:r>
            <w:instrText xml:space="preserve"> PAGEREF _Toc14641 \h </w:instrText>
          </w:r>
          <w:r>
            <w:fldChar w:fldCharType="separate"/>
          </w:r>
          <w:r>
            <w:t>22</w:t>
          </w:r>
          <w:r>
            <w:fldChar w:fldCharType="end"/>
          </w:r>
          <w:r>
            <w:rPr>
              <w:rFonts w:ascii="Times New Roman" w:hAnsi="Times New Roman" w:cs="Times New Roman"/>
              <w:bCs/>
              <w:color w:val="auto"/>
              <w:lang w:val="zh-CN"/>
            </w:rPr>
            <w:fldChar w:fldCharType="end"/>
          </w:r>
        </w:p>
        <w:p>
          <w:pPr>
            <w:pStyle w:val="7"/>
            <w:tabs>
              <w:tab w:val="right" w:leader="dot" w:pos="8306"/>
              <w:tab w:val="clear" w:pos="168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_Toc15379 </w:instrText>
          </w:r>
          <w:r>
            <w:rPr>
              <w:rFonts w:ascii="Times New Roman" w:hAnsi="Times New Roman" w:cs="Times New Roman"/>
              <w:bCs/>
              <w:lang w:val="zh-CN"/>
            </w:rPr>
            <w:fldChar w:fldCharType="separate"/>
          </w:r>
          <w:r>
            <w:rPr>
              <w:rFonts w:hint="eastAsia"/>
              <w:lang w:val="zh-CN"/>
            </w:rPr>
            <w:t>2.5.1 等离子体处置技术</w:t>
          </w:r>
          <w:r>
            <w:tab/>
          </w:r>
          <w:r>
            <w:fldChar w:fldCharType="begin"/>
          </w:r>
          <w:r>
            <w:instrText xml:space="preserve"> PAGEREF _Toc15379 \h </w:instrText>
          </w:r>
          <w:r>
            <w:fldChar w:fldCharType="separate"/>
          </w:r>
          <w:r>
            <w:t>22</w:t>
          </w:r>
          <w:r>
            <w:fldChar w:fldCharType="end"/>
          </w:r>
          <w:r>
            <w:rPr>
              <w:rFonts w:ascii="Times New Roman" w:hAnsi="Times New Roman" w:cs="Times New Roman"/>
              <w:bCs/>
              <w:color w:val="auto"/>
              <w:lang w:val="zh-CN"/>
            </w:rPr>
            <w:fldChar w:fldCharType="end"/>
          </w:r>
        </w:p>
        <w:p>
          <w:pPr>
            <w:pStyle w:val="7"/>
            <w:tabs>
              <w:tab w:val="right" w:leader="dot" w:pos="8306"/>
              <w:tab w:val="clear" w:pos="168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_Toc25367 </w:instrText>
          </w:r>
          <w:r>
            <w:rPr>
              <w:rFonts w:ascii="Times New Roman" w:hAnsi="Times New Roman" w:cs="Times New Roman"/>
              <w:bCs/>
              <w:lang w:val="zh-CN"/>
            </w:rPr>
            <w:fldChar w:fldCharType="separate"/>
          </w:r>
          <w:r>
            <w:rPr>
              <w:rFonts w:hint="eastAsia"/>
              <w:lang w:val="zh-CN"/>
            </w:rPr>
            <w:t>2.5.2 医疗废物等离子体处置的发展</w:t>
          </w:r>
          <w:r>
            <w:tab/>
          </w:r>
          <w:r>
            <w:fldChar w:fldCharType="begin"/>
          </w:r>
          <w:r>
            <w:instrText xml:space="preserve"> PAGEREF _Toc25367 \h </w:instrText>
          </w:r>
          <w:r>
            <w:fldChar w:fldCharType="separate"/>
          </w:r>
          <w:r>
            <w:t>23</w:t>
          </w:r>
          <w:r>
            <w:fldChar w:fldCharType="end"/>
          </w:r>
          <w:r>
            <w:rPr>
              <w:rFonts w:ascii="Times New Roman" w:hAnsi="Times New Roman" w:cs="Times New Roman"/>
              <w:bCs/>
              <w:color w:val="auto"/>
              <w:lang w:val="zh-CN"/>
            </w:rPr>
            <w:fldChar w:fldCharType="end"/>
          </w:r>
        </w:p>
        <w:p>
          <w:pPr>
            <w:pStyle w:val="7"/>
            <w:tabs>
              <w:tab w:val="right" w:leader="dot" w:pos="8306"/>
              <w:tab w:val="clear" w:pos="168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_Toc3135 </w:instrText>
          </w:r>
          <w:r>
            <w:rPr>
              <w:rFonts w:ascii="Times New Roman" w:hAnsi="Times New Roman" w:cs="Times New Roman"/>
              <w:bCs/>
              <w:lang w:val="zh-CN"/>
            </w:rPr>
            <w:fldChar w:fldCharType="separate"/>
          </w:r>
          <w:r>
            <w:rPr>
              <w:rFonts w:hint="eastAsia"/>
              <w:lang w:val="zh-CN"/>
            </w:rPr>
            <w:t>2.5.3 医疗废物等离子体处置的应用</w:t>
          </w:r>
          <w:r>
            <w:tab/>
          </w:r>
          <w:r>
            <w:fldChar w:fldCharType="begin"/>
          </w:r>
          <w:r>
            <w:instrText xml:space="preserve"> PAGEREF _Toc3135 \h </w:instrText>
          </w:r>
          <w:r>
            <w:fldChar w:fldCharType="separate"/>
          </w:r>
          <w:r>
            <w:t>24</w:t>
          </w:r>
          <w:r>
            <w:fldChar w:fldCharType="end"/>
          </w:r>
          <w:r>
            <w:rPr>
              <w:rFonts w:ascii="Times New Roman" w:hAnsi="Times New Roman" w:cs="Times New Roman"/>
              <w:bCs/>
              <w:color w:val="auto"/>
              <w:lang w:val="zh-CN"/>
            </w:rPr>
            <w:fldChar w:fldCharType="end"/>
          </w:r>
        </w:p>
        <w:p>
          <w:pPr>
            <w:pStyle w:val="12"/>
            <w:tabs>
              <w:tab w:val="right" w:leader="dot" w:pos="8306"/>
              <w:tab w:val="clear" w:pos="42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_Toc28318 </w:instrText>
          </w:r>
          <w:r>
            <w:rPr>
              <w:rFonts w:ascii="Times New Roman" w:hAnsi="Times New Roman" w:cs="Times New Roman"/>
              <w:bCs/>
              <w:lang w:val="zh-CN"/>
            </w:rPr>
            <w:fldChar w:fldCharType="separate"/>
          </w:r>
          <w:r>
            <w:rPr>
              <w:rFonts w:hint="eastAsia" w:ascii="Times New Roman" w:hAnsi="Times New Roman" w:cs="Times New Roman"/>
            </w:rPr>
            <w:t xml:space="preserve">3 </w:t>
          </w:r>
          <w:r>
            <w:rPr>
              <w:rFonts w:ascii="Times New Roman" w:hAnsi="Times New Roman" w:cs="Times New Roman"/>
            </w:rPr>
            <w:t>制定标准的原则和框架结构</w:t>
          </w:r>
          <w:r>
            <w:tab/>
          </w:r>
          <w:r>
            <w:fldChar w:fldCharType="begin"/>
          </w:r>
          <w:r>
            <w:instrText xml:space="preserve"> PAGEREF _Toc28318 \h </w:instrText>
          </w:r>
          <w:r>
            <w:fldChar w:fldCharType="separate"/>
          </w:r>
          <w:r>
            <w:t>26</w:t>
          </w:r>
          <w:r>
            <w:fldChar w:fldCharType="end"/>
          </w:r>
          <w:r>
            <w:rPr>
              <w:rFonts w:ascii="Times New Roman" w:hAnsi="Times New Roman" w:cs="Times New Roman"/>
              <w:bCs/>
              <w:color w:val="auto"/>
              <w:lang w:val="zh-CN"/>
            </w:rPr>
            <w:fldChar w:fldCharType="end"/>
          </w:r>
        </w:p>
        <w:p>
          <w:pPr>
            <w:pStyle w:val="13"/>
            <w:tabs>
              <w:tab w:val="right" w:leader="dot" w:pos="8306"/>
              <w:tab w:val="clear" w:pos="105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_Toc17584 </w:instrText>
          </w:r>
          <w:r>
            <w:rPr>
              <w:rFonts w:ascii="Times New Roman" w:hAnsi="Times New Roman" w:cs="Times New Roman"/>
              <w:bCs/>
              <w:lang w:val="zh-CN"/>
            </w:rPr>
            <w:fldChar w:fldCharType="separate"/>
          </w:r>
          <w:r>
            <w:rPr>
              <w:rFonts w:hint="eastAsia" w:cs="Times New Roman"/>
            </w:rPr>
            <w:t xml:space="preserve">3.1 </w:t>
          </w:r>
          <w:r>
            <w:rPr>
              <w:rFonts w:cs="Times New Roman"/>
            </w:rPr>
            <w:t>标准制定的指导思想</w:t>
          </w:r>
          <w:r>
            <w:tab/>
          </w:r>
          <w:r>
            <w:fldChar w:fldCharType="begin"/>
          </w:r>
          <w:r>
            <w:instrText xml:space="preserve"> PAGEREF _Toc17584 \h </w:instrText>
          </w:r>
          <w:r>
            <w:fldChar w:fldCharType="separate"/>
          </w:r>
          <w:r>
            <w:t>26</w:t>
          </w:r>
          <w:r>
            <w:fldChar w:fldCharType="end"/>
          </w:r>
          <w:r>
            <w:rPr>
              <w:rFonts w:ascii="Times New Roman" w:hAnsi="Times New Roman" w:cs="Times New Roman"/>
              <w:bCs/>
              <w:color w:val="auto"/>
              <w:lang w:val="zh-CN"/>
            </w:rPr>
            <w:fldChar w:fldCharType="end"/>
          </w:r>
        </w:p>
        <w:p>
          <w:pPr>
            <w:pStyle w:val="13"/>
            <w:tabs>
              <w:tab w:val="right" w:leader="dot" w:pos="8306"/>
              <w:tab w:val="clear" w:pos="105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_Toc18142 </w:instrText>
          </w:r>
          <w:r>
            <w:rPr>
              <w:rFonts w:ascii="Times New Roman" w:hAnsi="Times New Roman" w:cs="Times New Roman"/>
              <w:bCs/>
              <w:lang w:val="zh-CN"/>
            </w:rPr>
            <w:fldChar w:fldCharType="separate"/>
          </w:r>
          <w:r>
            <w:rPr>
              <w:rFonts w:hint="eastAsia" w:cs="Times New Roman"/>
            </w:rPr>
            <w:t xml:space="preserve">3.2 </w:t>
          </w:r>
          <w:r>
            <w:rPr>
              <w:rFonts w:cs="Times New Roman"/>
            </w:rPr>
            <w:t>标准制定的基本原则</w:t>
          </w:r>
          <w:r>
            <w:tab/>
          </w:r>
          <w:r>
            <w:fldChar w:fldCharType="begin"/>
          </w:r>
          <w:r>
            <w:instrText xml:space="preserve"> PAGEREF _Toc18142 \h </w:instrText>
          </w:r>
          <w:r>
            <w:fldChar w:fldCharType="separate"/>
          </w:r>
          <w:r>
            <w:t>26</w:t>
          </w:r>
          <w:r>
            <w:fldChar w:fldCharType="end"/>
          </w:r>
          <w:r>
            <w:rPr>
              <w:rFonts w:ascii="Times New Roman" w:hAnsi="Times New Roman" w:cs="Times New Roman"/>
              <w:bCs/>
              <w:color w:val="auto"/>
              <w:lang w:val="zh-CN"/>
            </w:rPr>
            <w:fldChar w:fldCharType="end"/>
          </w:r>
        </w:p>
        <w:p>
          <w:pPr>
            <w:pStyle w:val="13"/>
            <w:tabs>
              <w:tab w:val="right" w:leader="dot" w:pos="8306"/>
              <w:tab w:val="clear" w:pos="105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_Toc32596 </w:instrText>
          </w:r>
          <w:r>
            <w:rPr>
              <w:rFonts w:ascii="Times New Roman" w:hAnsi="Times New Roman" w:cs="Times New Roman"/>
              <w:bCs/>
              <w:lang w:val="zh-CN"/>
            </w:rPr>
            <w:fldChar w:fldCharType="separate"/>
          </w:r>
          <w:r>
            <w:rPr>
              <w:rFonts w:hint="eastAsia" w:cs="Times New Roman"/>
            </w:rPr>
            <w:t xml:space="preserve">3.3 </w:t>
          </w:r>
          <w:r>
            <w:rPr>
              <w:rFonts w:cs="Times New Roman"/>
            </w:rPr>
            <w:t>标准结构框架</w:t>
          </w:r>
          <w:r>
            <w:tab/>
          </w:r>
          <w:r>
            <w:fldChar w:fldCharType="begin"/>
          </w:r>
          <w:r>
            <w:instrText xml:space="preserve"> PAGEREF _Toc32596 \h </w:instrText>
          </w:r>
          <w:r>
            <w:fldChar w:fldCharType="separate"/>
          </w:r>
          <w:r>
            <w:t>27</w:t>
          </w:r>
          <w:r>
            <w:fldChar w:fldCharType="end"/>
          </w:r>
          <w:r>
            <w:rPr>
              <w:rFonts w:ascii="Times New Roman" w:hAnsi="Times New Roman" w:cs="Times New Roman"/>
              <w:bCs/>
              <w:color w:val="auto"/>
              <w:lang w:val="zh-CN"/>
            </w:rPr>
            <w:fldChar w:fldCharType="end"/>
          </w:r>
        </w:p>
        <w:p>
          <w:pPr>
            <w:pStyle w:val="12"/>
            <w:tabs>
              <w:tab w:val="right" w:leader="dot" w:pos="8306"/>
              <w:tab w:val="clear" w:pos="42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_Toc29794 </w:instrText>
          </w:r>
          <w:r>
            <w:rPr>
              <w:rFonts w:ascii="Times New Roman" w:hAnsi="Times New Roman" w:cs="Times New Roman"/>
              <w:bCs/>
              <w:lang w:val="zh-CN"/>
            </w:rPr>
            <w:fldChar w:fldCharType="separate"/>
          </w:r>
          <w:r>
            <w:rPr>
              <w:rFonts w:hint="eastAsia" w:ascii="Times New Roman" w:hAnsi="Times New Roman" w:cs="Times New Roman"/>
            </w:rPr>
            <w:t xml:space="preserve">4 </w:t>
          </w:r>
          <w:r>
            <w:rPr>
              <w:rFonts w:hint="eastAsia" w:ascii="Times New Roman" w:hAnsi="Times New Roman" w:cs="Times New Roman"/>
              <w:lang w:val="en-US" w:eastAsia="zh-CN"/>
            </w:rPr>
            <w:t>标准主要技术内容</w:t>
          </w:r>
          <w:r>
            <w:tab/>
          </w:r>
          <w:r>
            <w:fldChar w:fldCharType="begin"/>
          </w:r>
          <w:r>
            <w:instrText xml:space="preserve"> PAGEREF _Toc29794 \h </w:instrText>
          </w:r>
          <w:r>
            <w:fldChar w:fldCharType="separate"/>
          </w:r>
          <w:r>
            <w:t>28</w:t>
          </w:r>
          <w:r>
            <w:fldChar w:fldCharType="end"/>
          </w:r>
          <w:r>
            <w:rPr>
              <w:rFonts w:ascii="Times New Roman" w:hAnsi="Times New Roman" w:cs="Times New Roman"/>
              <w:bCs/>
              <w:color w:val="auto"/>
              <w:lang w:val="zh-CN"/>
            </w:rPr>
            <w:fldChar w:fldCharType="end"/>
          </w:r>
        </w:p>
        <w:p>
          <w:pPr>
            <w:pStyle w:val="13"/>
            <w:tabs>
              <w:tab w:val="right" w:leader="dot" w:pos="8306"/>
              <w:tab w:val="clear" w:pos="105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_Toc26519 </w:instrText>
          </w:r>
          <w:r>
            <w:rPr>
              <w:rFonts w:ascii="Times New Roman" w:hAnsi="Times New Roman" w:cs="Times New Roman"/>
              <w:bCs/>
              <w:lang w:val="zh-CN"/>
            </w:rPr>
            <w:fldChar w:fldCharType="separate"/>
          </w:r>
          <w:r>
            <w:rPr>
              <w:rFonts w:hint="eastAsia" w:cs="Times New Roman"/>
            </w:rPr>
            <w:t xml:space="preserve">4.1 </w:t>
          </w:r>
          <w:r>
            <w:rPr>
              <w:rFonts w:cs="Times New Roman"/>
            </w:rPr>
            <w:t>范围</w:t>
          </w:r>
          <w:r>
            <w:tab/>
          </w:r>
          <w:r>
            <w:fldChar w:fldCharType="begin"/>
          </w:r>
          <w:r>
            <w:instrText xml:space="preserve"> PAGEREF _Toc26519 \h </w:instrText>
          </w:r>
          <w:r>
            <w:fldChar w:fldCharType="separate"/>
          </w:r>
          <w:r>
            <w:t>28</w:t>
          </w:r>
          <w:r>
            <w:fldChar w:fldCharType="end"/>
          </w:r>
          <w:r>
            <w:rPr>
              <w:rFonts w:ascii="Times New Roman" w:hAnsi="Times New Roman" w:cs="Times New Roman"/>
              <w:bCs/>
              <w:color w:val="auto"/>
              <w:lang w:val="zh-CN"/>
            </w:rPr>
            <w:fldChar w:fldCharType="end"/>
          </w:r>
        </w:p>
        <w:p>
          <w:pPr>
            <w:pStyle w:val="13"/>
            <w:tabs>
              <w:tab w:val="right" w:leader="dot" w:pos="8306"/>
              <w:tab w:val="clear" w:pos="105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_Toc19910 </w:instrText>
          </w:r>
          <w:r>
            <w:rPr>
              <w:rFonts w:ascii="Times New Roman" w:hAnsi="Times New Roman" w:cs="Times New Roman"/>
              <w:bCs/>
              <w:lang w:val="zh-CN"/>
            </w:rPr>
            <w:fldChar w:fldCharType="separate"/>
          </w:r>
          <w:r>
            <w:rPr>
              <w:rFonts w:hint="eastAsia" w:cs="Times New Roman"/>
            </w:rPr>
            <w:t xml:space="preserve">4.2 </w:t>
          </w:r>
          <w:r>
            <w:rPr>
              <w:rFonts w:cs="Times New Roman"/>
            </w:rPr>
            <w:t>规范性引用文件</w:t>
          </w:r>
          <w:r>
            <w:tab/>
          </w:r>
          <w:r>
            <w:fldChar w:fldCharType="begin"/>
          </w:r>
          <w:r>
            <w:instrText xml:space="preserve"> PAGEREF _Toc19910 \h </w:instrText>
          </w:r>
          <w:r>
            <w:fldChar w:fldCharType="separate"/>
          </w:r>
          <w:r>
            <w:t>28</w:t>
          </w:r>
          <w:r>
            <w:fldChar w:fldCharType="end"/>
          </w:r>
          <w:r>
            <w:rPr>
              <w:rFonts w:ascii="Times New Roman" w:hAnsi="Times New Roman" w:cs="Times New Roman"/>
              <w:bCs/>
              <w:color w:val="auto"/>
              <w:lang w:val="zh-CN"/>
            </w:rPr>
            <w:fldChar w:fldCharType="end"/>
          </w:r>
        </w:p>
        <w:p>
          <w:pPr>
            <w:pStyle w:val="13"/>
            <w:tabs>
              <w:tab w:val="right" w:leader="dot" w:pos="8306"/>
              <w:tab w:val="clear" w:pos="105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_Toc30465 </w:instrText>
          </w:r>
          <w:r>
            <w:rPr>
              <w:rFonts w:ascii="Times New Roman" w:hAnsi="Times New Roman" w:cs="Times New Roman"/>
              <w:bCs/>
              <w:lang w:val="zh-CN"/>
            </w:rPr>
            <w:fldChar w:fldCharType="separate"/>
          </w:r>
          <w:r>
            <w:rPr>
              <w:rFonts w:hint="eastAsia" w:cs="Times New Roman"/>
            </w:rPr>
            <w:t xml:space="preserve">4.3 </w:t>
          </w:r>
          <w:r>
            <w:rPr>
              <w:rFonts w:cs="Times New Roman"/>
            </w:rPr>
            <w:t>术语和定义</w:t>
          </w:r>
          <w:r>
            <w:tab/>
          </w:r>
          <w:r>
            <w:fldChar w:fldCharType="begin"/>
          </w:r>
          <w:r>
            <w:instrText xml:space="preserve"> PAGEREF _Toc30465 \h </w:instrText>
          </w:r>
          <w:r>
            <w:fldChar w:fldCharType="separate"/>
          </w:r>
          <w:r>
            <w:t>28</w:t>
          </w:r>
          <w:r>
            <w:fldChar w:fldCharType="end"/>
          </w:r>
          <w:r>
            <w:rPr>
              <w:rFonts w:ascii="Times New Roman" w:hAnsi="Times New Roman" w:cs="Times New Roman"/>
              <w:bCs/>
              <w:color w:val="auto"/>
              <w:lang w:val="zh-CN"/>
            </w:rPr>
            <w:fldChar w:fldCharType="end"/>
          </w:r>
        </w:p>
        <w:p>
          <w:pPr>
            <w:pStyle w:val="13"/>
            <w:tabs>
              <w:tab w:val="right" w:leader="dot" w:pos="8306"/>
              <w:tab w:val="clear" w:pos="105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_Toc22118 </w:instrText>
          </w:r>
          <w:r>
            <w:rPr>
              <w:rFonts w:ascii="Times New Roman" w:hAnsi="Times New Roman" w:cs="Times New Roman"/>
              <w:bCs/>
              <w:lang w:val="zh-CN"/>
            </w:rPr>
            <w:fldChar w:fldCharType="separate"/>
          </w:r>
          <w:r>
            <w:rPr>
              <w:rFonts w:hint="eastAsia" w:cs="Times New Roman"/>
            </w:rPr>
            <w:t xml:space="preserve">4.4 </w:t>
          </w:r>
          <w:r>
            <w:rPr>
              <w:rFonts w:cs="Times New Roman"/>
            </w:rPr>
            <w:t>总体</w:t>
          </w:r>
          <w:r>
            <w:rPr>
              <w:rFonts w:hint="eastAsia" w:cs="Times New Roman"/>
            </w:rPr>
            <w:t>要求</w:t>
          </w:r>
          <w:r>
            <w:tab/>
          </w:r>
          <w:r>
            <w:fldChar w:fldCharType="begin"/>
          </w:r>
          <w:r>
            <w:instrText xml:space="preserve"> PAGEREF _Toc22118 \h </w:instrText>
          </w:r>
          <w:r>
            <w:fldChar w:fldCharType="separate"/>
          </w:r>
          <w:r>
            <w:t>29</w:t>
          </w:r>
          <w:r>
            <w:fldChar w:fldCharType="end"/>
          </w:r>
          <w:r>
            <w:rPr>
              <w:rFonts w:ascii="Times New Roman" w:hAnsi="Times New Roman" w:cs="Times New Roman"/>
              <w:bCs/>
              <w:color w:val="auto"/>
              <w:lang w:val="zh-CN"/>
            </w:rPr>
            <w:fldChar w:fldCharType="end"/>
          </w:r>
        </w:p>
        <w:p>
          <w:pPr>
            <w:pStyle w:val="13"/>
            <w:tabs>
              <w:tab w:val="right" w:leader="dot" w:pos="8306"/>
              <w:tab w:val="clear" w:pos="105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_Toc7081 </w:instrText>
          </w:r>
          <w:r>
            <w:rPr>
              <w:rFonts w:ascii="Times New Roman" w:hAnsi="Times New Roman" w:cs="Times New Roman"/>
              <w:bCs/>
              <w:lang w:val="zh-CN"/>
            </w:rPr>
            <w:fldChar w:fldCharType="separate"/>
          </w:r>
          <w:r>
            <w:rPr>
              <w:rFonts w:hint="eastAsia" w:cs="Times New Roman"/>
            </w:rPr>
            <w:t>4.5 工艺设计</w:t>
          </w:r>
          <w:r>
            <w:tab/>
          </w:r>
          <w:r>
            <w:fldChar w:fldCharType="begin"/>
          </w:r>
          <w:r>
            <w:instrText xml:space="preserve"> PAGEREF _Toc7081 \h </w:instrText>
          </w:r>
          <w:r>
            <w:fldChar w:fldCharType="separate"/>
          </w:r>
          <w:r>
            <w:t>31</w:t>
          </w:r>
          <w:r>
            <w:fldChar w:fldCharType="end"/>
          </w:r>
          <w:r>
            <w:rPr>
              <w:rFonts w:ascii="Times New Roman" w:hAnsi="Times New Roman" w:cs="Times New Roman"/>
              <w:bCs/>
              <w:color w:val="auto"/>
              <w:lang w:val="zh-CN"/>
            </w:rPr>
            <w:fldChar w:fldCharType="end"/>
          </w:r>
        </w:p>
        <w:p>
          <w:pPr>
            <w:pStyle w:val="7"/>
            <w:tabs>
              <w:tab w:val="right" w:leader="dot" w:pos="8306"/>
              <w:tab w:val="clear" w:pos="168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_Toc897 </w:instrText>
          </w:r>
          <w:r>
            <w:rPr>
              <w:rFonts w:ascii="Times New Roman" w:hAnsi="Times New Roman" w:cs="Times New Roman"/>
              <w:bCs/>
              <w:lang w:val="zh-CN"/>
            </w:rPr>
            <w:fldChar w:fldCharType="separate"/>
          </w:r>
          <w:r>
            <w:rPr>
              <w:rFonts w:hint="eastAsia"/>
            </w:rPr>
            <w:t xml:space="preserve">4.5.1 </w:t>
          </w:r>
          <w:r>
            <w:rPr>
              <w:rFonts w:hint="eastAsia"/>
              <w:lang w:val="en-US" w:eastAsia="zh-CN"/>
            </w:rPr>
            <w:t>工程构成</w:t>
          </w:r>
          <w:r>
            <w:tab/>
          </w:r>
          <w:r>
            <w:fldChar w:fldCharType="begin"/>
          </w:r>
          <w:r>
            <w:instrText xml:space="preserve"> PAGEREF _Toc897 \h </w:instrText>
          </w:r>
          <w:r>
            <w:fldChar w:fldCharType="separate"/>
          </w:r>
          <w:r>
            <w:t>31</w:t>
          </w:r>
          <w:r>
            <w:fldChar w:fldCharType="end"/>
          </w:r>
          <w:r>
            <w:rPr>
              <w:rFonts w:ascii="Times New Roman" w:hAnsi="Times New Roman" w:cs="Times New Roman"/>
              <w:bCs/>
              <w:color w:val="auto"/>
              <w:lang w:val="zh-CN"/>
            </w:rPr>
            <w:fldChar w:fldCharType="end"/>
          </w:r>
        </w:p>
        <w:p>
          <w:pPr>
            <w:pStyle w:val="7"/>
            <w:tabs>
              <w:tab w:val="right" w:leader="dot" w:pos="8306"/>
              <w:tab w:val="clear" w:pos="168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_Toc16199 </w:instrText>
          </w:r>
          <w:r>
            <w:rPr>
              <w:rFonts w:ascii="Times New Roman" w:hAnsi="Times New Roman" w:cs="Times New Roman"/>
              <w:bCs/>
              <w:lang w:val="zh-CN"/>
            </w:rPr>
            <w:fldChar w:fldCharType="separate"/>
          </w:r>
          <w:r>
            <w:rPr>
              <w:rFonts w:hint="eastAsia"/>
            </w:rPr>
            <w:t xml:space="preserve">4.5.2 </w:t>
          </w:r>
          <w:r>
            <w:t>接收、贮存与输送系统</w:t>
          </w:r>
          <w:r>
            <w:tab/>
          </w:r>
          <w:r>
            <w:fldChar w:fldCharType="begin"/>
          </w:r>
          <w:r>
            <w:instrText xml:space="preserve"> PAGEREF _Toc16199 \h </w:instrText>
          </w:r>
          <w:r>
            <w:fldChar w:fldCharType="separate"/>
          </w:r>
          <w:r>
            <w:t>32</w:t>
          </w:r>
          <w:r>
            <w:fldChar w:fldCharType="end"/>
          </w:r>
          <w:r>
            <w:rPr>
              <w:rFonts w:ascii="Times New Roman" w:hAnsi="Times New Roman" w:cs="Times New Roman"/>
              <w:bCs/>
              <w:color w:val="auto"/>
              <w:lang w:val="zh-CN"/>
            </w:rPr>
            <w:fldChar w:fldCharType="end"/>
          </w:r>
        </w:p>
        <w:p>
          <w:pPr>
            <w:pStyle w:val="7"/>
            <w:tabs>
              <w:tab w:val="right" w:leader="dot" w:pos="8306"/>
              <w:tab w:val="clear" w:pos="168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_Toc9084 </w:instrText>
          </w:r>
          <w:r>
            <w:rPr>
              <w:rFonts w:ascii="Times New Roman" w:hAnsi="Times New Roman" w:cs="Times New Roman"/>
              <w:bCs/>
              <w:lang w:val="zh-CN"/>
            </w:rPr>
            <w:fldChar w:fldCharType="separate"/>
          </w:r>
          <w:r>
            <w:rPr>
              <w:rFonts w:hint="eastAsia"/>
            </w:rPr>
            <w:t>4.5.3 进料系统</w:t>
          </w:r>
          <w:r>
            <w:tab/>
          </w:r>
          <w:r>
            <w:fldChar w:fldCharType="begin"/>
          </w:r>
          <w:r>
            <w:instrText xml:space="preserve"> PAGEREF _Toc9084 \h </w:instrText>
          </w:r>
          <w:r>
            <w:fldChar w:fldCharType="separate"/>
          </w:r>
          <w:r>
            <w:t>32</w:t>
          </w:r>
          <w:r>
            <w:fldChar w:fldCharType="end"/>
          </w:r>
          <w:r>
            <w:rPr>
              <w:rFonts w:ascii="Times New Roman" w:hAnsi="Times New Roman" w:cs="Times New Roman"/>
              <w:bCs/>
              <w:color w:val="auto"/>
              <w:lang w:val="zh-CN"/>
            </w:rPr>
            <w:fldChar w:fldCharType="end"/>
          </w:r>
        </w:p>
        <w:p>
          <w:pPr>
            <w:pStyle w:val="7"/>
            <w:tabs>
              <w:tab w:val="right" w:leader="dot" w:pos="8306"/>
              <w:tab w:val="clear" w:pos="168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_Toc7159 </w:instrText>
          </w:r>
          <w:r>
            <w:rPr>
              <w:rFonts w:ascii="Times New Roman" w:hAnsi="Times New Roman" w:cs="Times New Roman"/>
              <w:bCs/>
              <w:lang w:val="zh-CN"/>
            </w:rPr>
            <w:fldChar w:fldCharType="separate"/>
          </w:r>
          <w:r>
            <w:rPr>
              <w:rFonts w:hint="eastAsia"/>
            </w:rPr>
            <w:t>4.5.4 清洗消毒系统</w:t>
          </w:r>
          <w:r>
            <w:tab/>
          </w:r>
          <w:r>
            <w:fldChar w:fldCharType="begin"/>
          </w:r>
          <w:r>
            <w:instrText xml:space="preserve"> PAGEREF _Toc7159 \h </w:instrText>
          </w:r>
          <w:r>
            <w:fldChar w:fldCharType="separate"/>
          </w:r>
          <w:r>
            <w:t>33</w:t>
          </w:r>
          <w:r>
            <w:fldChar w:fldCharType="end"/>
          </w:r>
          <w:r>
            <w:rPr>
              <w:rFonts w:ascii="Times New Roman" w:hAnsi="Times New Roman" w:cs="Times New Roman"/>
              <w:bCs/>
              <w:color w:val="auto"/>
              <w:lang w:val="zh-CN"/>
            </w:rPr>
            <w:fldChar w:fldCharType="end"/>
          </w:r>
        </w:p>
        <w:p>
          <w:pPr>
            <w:pStyle w:val="7"/>
            <w:tabs>
              <w:tab w:val="right" w:leader="dot" w:pos="8306"/>
              <w:tab w:val="clear" w:pos="168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_Toc16422 </w:instrText>
          </w:r>
          <w:r>
            <w:rPr>
              <w:rFonts w:ascii="Times New Roman" w:hAnsi="Times New Roman" w:cs="Times New Roman"/>
              <w:bCs/>
              <w:lang w:val="zh-CN"/>
            </w:rPr>
            <w:fldChar w:fldCharType="separate"/>
          </w:r>
          <w:r>
            <w:rPr>
              <w:rFonts w:hint="eastAsia"/>
            </w:rPr>
            <w:t>4.5.5 气化系统</w:t>
          </w:r>
          <w:r>
            <w:tab/>
          </w:r>
          <w:r>
            <w:fldChar w:fldCharType="begin"/>
          </w:r>
          <w:r>
            <w:instrText xml:space="preserve"> PAGEREF _Toc16422 \h </w:instrText>
          </w:r>
          <w:r>
            <w:fldChar w:fldCharType="separate"/>
          </w:r>
          <w:r>
            <w:t>34</w:t>
          </w:r>
          <w:r>
            <w:fldChar w:fldCharType="end"/>
          </w:r>
          <w:r>
            <w:rPr>
              <w:rFonts w:ascii="Times New Roman" w:hAnsi="Times New Roman" w:cs="Times New Roman"/>
              <w:bCs/>
              <w:color w:val="auto"/>
              <w:lang w:val="zh-CN"/>
            </w:rPr>
            <w:fldChar w:fldCharType="end"/>
          </w:r>
        </w:p>
        <w:p>
          <w:pPr>
            <w:pStyle w:val="7"/>
            <w:tabs>
              <w:tab w:val="right" w:leader="dot" w:pos="8306"/>
              <w:tab w:val="clear" w:pos="168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_Toc29670 </w:instrText>
          </w:r>
          <w:r>
            <w:rPr>
              <w:rFonts w:ascii="Times New Roman" w:hAnsi="Times New Roman" w:cs="Times New Roman"/>
              <w:bCs/>
              <w:lang w:val="zh-CN"/>
            </w:rPr>
            <w:fldChar w:fldCharType="separate"/>
          </w:r>
          <w:r>
            <w:rPr>
              <w:rFonts w:hint="eastAsia"/>
            </w:rPr>
            <w:t>4.5.6 等离子体发生器系统</w:t>
          </w:r>
          <w:r>
            <w:tab/>
          </w:r>
          <w:r>
            <w:fldChar w:fldCharType="begin"/>
          </w:r>
          <w:r>
            <w:instrText xml:space="preserve"> PAGEREF _Toc29670 \h </w:instrText>
          </w:r>
          <w:r>
            <w:fldChar w:fldCharType="separate"/>
          </w:r>
          <w:r>
            <w:t>38</w:t>
          </w:r>
          <w:r>
            <w:fldChar w:fldCharType="end"/>
          </w:r>
          <w:r>
            <w:rPr>
              <w:rFonts w:ascii="Times New Roman" w:hAnsi="Times New Roman" w:cs="Times New Roman"/>
              <w:bCs/>
              <w:color w:val="auto"/>
              <w:lang w:val="zh-CN"/>
            </w:rPr>
            <w:fldChar w:fldCharType="end"/>
          </w:r>
        </w:p>
        <w:p>
          <w:pPr>
            <w:pStyle w:val="7"/>
            <w:tabs>
              <w:tab w:val="right" w:leader="dot" w:pos="8306"/>
              <w:tab w:val="clear" w:pos="168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_Toc23596 </w:instrText>
          </w:r>
          <w:r>
            <w:rPr>
              <w:rFonts w:ascii="Times New Roman" w:hAnsi="Times New Roman" w:cs="Times New Roman"/>
              <w:bCs/>
              <w:lang w:val="zh-CN"/>
            </w:rPr>
            <w:fldChar w:fldCharType="separate"/>
          </w:r>
          <w:r>
            <w:rPr>
              <w:rFonts w:hint="eastAsia"/>
            </w:rPr>
            <w:t xml:space="preserve">4.5.7 </w:t>
          </w:r>
          <w:r>
            <w:rPr>
              <w:rFonts w:hint="eastAsia"/>
              <w:lang w:val="en-US" w:eastAsia="zh-CN"/>
            </w:rPr>
            <w:t>余热</w:t>
          </w:r>
          <w:r>
            <w:rPr>
              <w:rFonts w:hint="eastAsia"/>
            </w:rPr>
            <w:t>利用系统</w:t>
          </w:r>
          <w:r>
            <w:tab/>
          </w:r>
          <w:r>
            <w:fldChar w:fldCharType="begin"/>
          </w:r>
          <w:r>
            <w:instrText xml:space="preserve"> PAGEREF _Toc23596 \h </w:instrText>
          </w:r>
          <w:r>
            <w:fldChar w:fldCharType="separate"/>
          </w:r>
          <w:r>
            <w:t>39</w:t>
          </w:r>
          <w:r>
            <w:fldChar w:fldCharType="end"/>
          </w:r>
          <w:r>
            <w:rPr>
              <w:rFonts w:ascii="Times New Roman" w:hAnsi="Times New Roman" w:cs="Times New Roman"/>
              <w:bCs/>
              <w:color w:val="auto"/>
              <w:lang w:val="zh-CN"/>
            </w:rPr>
            <w:fldChar w:fldCharType="end"/>
          </w:r>
        </w:p>
        <w:p>
          <w:pPr>
            <w:pStyle w:val="7"/>
            <w:tabs>
              <w:tab w:val="right" w:leader="dot" w:pos="8306"/>
              <w:tab w:val="clear" w:pos="168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_Toc11129 </w:instrText>
          </w:r>
          <w:r>
            <w:rPr>
              <w:rFonts w:ascii="Times New Roman" w:hAnsi="Times New Roman" w:cs="Times New Roman"/>
              <w:bCs/>
              <w:lang w:val="zh-CN"/>
            </w:rPr>
            <w:fldChar w:fldCharType="separate"/>
          </w:r>
          <w:r>
            <w:rPr>
              <w:rFonts w:hint="eastAsia"/>
            </w:rPr>
            <w:t>4.5.8 烟气净化系统</w:t>
          </w:r>
          <w:r>
            <w:tab/>
          </w:r>
          <w:r>
            <w:fldChar w:fldCharType="begin"/>
          </w:r>
          <w:r>
            <w:instrText xml:space="preserve"> PAGEREF _Toc11129 \h </w:instrText>
          </w:r>
          <w:r>
            <w:fldChar w:fldCharType="separate"/>
          </w:r>
          <w:r>
            <w:t>40</w:t>
          </w:r>
          <w:r>
            <w:fldChar w:fldCharType="end"/>
          </w:r>
          <w:r>
            <w:rPr>
              <w:rFonts w:ascii="Times New Roman" w:hAnsi="Times New Roman" w:cs="Times New Roman"/>
              <w:bCs/>
              <w:color w:val="auto"/>
              <w:lang w:val="zh-CN"/>
            </w:rPr>
            <w:fldChar w:fldCharType="end"/>
          </w:r>
        </w:p>
        <w:p>
          <w:pPr>
            <w:pStyle w:val="7"/>
            <w:tabs>
              <w:tab w:val="right" w:leader="dot" w:pos="8306"/>
              <w:tab w:val="clear" w:pos="168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_Toc11551 </w:instrText>
          </w:r>
          <w:r>
            <w:rPr>
              <w:rFonts w:ascii="Times New Roman" w:hAnsi="Times New Roman" w:cs="Times New Roman"/>
              <w:bCs/>
              <w:lang w:val="zh-CN"/>
            </w:rPr>
            <w:fldChar w:fldCharType="separate"/>
          </w:r>
          <w:r>
            <w:rPr>
              <w:rFonts w:hint="eastAsia"/>
            </w:rPr>
            <w:t>4.5.9 废水处理系统</w:t>
          </w:r>
          <w:r>
            <w:tab/>
          </w:r>
          <w:r>
            <w:fldChar w:fldCharType="begin"/>
          </w:r>
          <w:r>
            <w:instrText xml:space="preserve"> PAGEREF _Toc11551 \h </w:instrText>
          </w:r>
          <w:r>
            <w:fldChar w:fldCharType="separate"/>
          </w:r>
          <w:r>
            <w:t>43</w:t>
          </w:r>
          <w:r>
            <w:fldChar w:fldCharType="end"/>
          </w:r>
          <w:r>
            <w:rPr>
              <w:rFonts w:ascii="Times New Roman" w:hAnsi="Times New Roman" w:cs="Times New Roman"/>
              <w:bCs/>
              <w:color w:val="auto"/>
              <w:lang w:val="zh-CN"/>
            </w:rPr>
            <w:fldChar w:fldCharType="end"/>
          </w:r>
        </w:p>
        <w:p>
          <w:pPr>
            <w:pStyle w:val="7"/>
            <w:tabs>
              <w:tab w:val="right" w:leader="dot" w:pos="8306"/>
              <w:tab w:val="clear" w:pos="168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_Toc442 </w:instrText>
          </w:r>
          <w:r>
            <w:rPr>
              <w:rFonts w:ascii="Times New Roman" w:hAnsi="Times New Roman" w:cs="Times New Roman"/>
              <w:bCs/>
              <w:lang w:val="zh-CN"/>
            </w:rPr>
            <w:fldChar w:fldCharType="separate"/>
          </w:r>
          <w:r>
            <w:rPr>
              <w:rFonts w:hint="eastAsia"/>
            </w:rPr>
            <w:t xml:space="preserve">4.5.10 </w:t>
          </w:r>
          <w:r>
            <w:rPr>
              <w:rFonts w:hint="eastAsia"/>
              <w:lang w:val="en-US" w:eastAsia="zh-CN"/>
            </w:rPr>
            <w:t>自动控制系统</w:t>
          </w:r>
          <w:r>
            <w:tab/>
          </w:r>
          <w:r>
            <w:fldChar w:fldCharType="begin"/>
          </w:r>
          <w:r>
            <w:instrText xml:space="preserve"> PAGEREF _Toc442 \h </w:instrText>
          </w:r>
          <w:r>
            <w:fldChar w:fldCharType="separate"/>
          </w:r>
          <w:r>
            <w:t>44</w:t>
          </w:r>
          <w:r>
            <w:fldChar w:fldCharType="end"/>
          </w:r>
          <w:r>
            <w:rPr>
              <w:rFonts w:ascii="Times New Roman" w:hAnsi="Times New Roman" w:cs="Times New Roman"/>
              <w:bCs/>
              <w:color w:val="auto"/>
              <w:lang w:val="zh-CN"/>
            </w:rPr>
            <w:fldChar w:fldCharType="end"/>
          </w:r>
        </w:p>
        <w:p>
          <w:pPr>
            <w:pStyle w:val="13"/>
            <w:tabs>
              <w:tab w:val="right" w:leader="dot" w:pos="8306"/>
              <w:tab w:val="clear" w:pos="105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_Toc16055 </w:instrText>
          </w:r>
          <w:r>
            <w:rPr>
              <w:rFonts w:ascii="Times New Roman" w:hAnsi="Times New Roman" w:cs="Times New Roman"/>
              <w:bCs/>
              <w:lang w:val="zh-CN"/>
            </w:rPr>
            <w:fldChar w:fldCharType="separate"/>
          </w:r>
          <w:r>
            <w:rPr>
              <w:rFonts w:hint="eastAsia"/>
            </w:rPr>
            <w:t xml:space="preserve">4.6 </w:t>
          </w:r>
          <w:r>
            <w:rPr>
              <w:rFonts w:hint="eastAsia"/>
              <w:lang w:val="en-US" w:eastAsia="zh-CN"/>
            </w:rPr>
            <w:t>环境管理</w:t>
          </w:r>
          <w:r>
            <w:rPr>
              <w:rFonts w:hint="eastAsia"/>
            </w:rPr>
            <w:t>要求</w:t>
          </w:r>
          <w:r>
            <w:tab/>
          </w:r>
          <w:r>
            <w:fldChar w:fldCharType="begin"/>
          </w:r>
          <w:r>
            <w:instrText xml:space="preserve"> PAGEREF _Toc16055 \h </w:instrText>
          </w:r>
          <w:r>
            <w:fldChar w:fldCharType="separate"/>
          </w:r>
          <w:r>
            <w:t>45</w:t>
          </w:r>
          <w:r>
            <w:fldChar w:fldCharType="end"/>
          </w:r>
          <w:r>
            <w:rPr>
              <w:rFonts w:ascii="Times New Roman" w:hAnsi="Times New Roman" w:cs="Times New Roman"/>
              <w:bCs/>
              <w:color w:val="auto"/>
              <w:lang w:val="zh-CN"/>
            </w:rPr>
            <w:fldChar w:fldCharType="end"/>
          </w:r>
        </w:p>
        <w:p>
          <w:pPr>
            <w:pStyle w:val="13"/>
            <w:tabs>
              <w:tab w:val="right" w:leader="dot" w:pos="8306"/>
              <w:tab w:val="clear" w:pos="105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_Toc16644 </w:instrText>
          </w:r>
          <w:r>
            <w:rPr>
              <w:rFonts w:ascii="Times New Roman" w:hAnsi="Times New Roman" w:cs="Times New Roman"/>
              <w:bCs/>
              <w:lang w:val="zh-CN"/>
            </w:rPr>
            <w:fldChar w:fldCharType="separate"/>
          </w:r>
          <w:r>
            <w:rPr>
              <w:rFonts w:hint="eastAsia"/>
            </w:rPr>
            <w:t>4.7 辅助工程和配套设施</w:t>
          </w:r>
          <w:r>
            <w:tab/>
          </w:r>
          <w:r>
            <w:fldChar w:fldCharType="begin"/>
          </w:r>
          <w:r>
            <w:instrText xml:space="preserve"> PAGEREF _Toc16644 \h </w:instrText>
          </w:r>
          <w:r>
            <w:fldChar w:fldCharType="separate"/>
          </w:r>
          <w:r>
            <w:t>46</w:t>
          </w:r>
          <w:r>
            <w:fldChar w:fldCharType="end"/>
          </w:r>
          <w:r>
            <w:rPr>
              <w:rFonts w:ascii="Times New Roman" w:hAnsi="Times New Roman" w:cs="Times New Roman"/>
              <w:bCs/>
              <w:color w:val="auto"/>
              <w:lang w:val="zh-CN"/>
            </w:rPr>
            <w:fldChar w:fldCharType="end"/>
          </w:r>
        </w:p>
        <w:p>
          <w:pPr>
            <w:pStyle w:val="13"/>
            <w:tabs>
              <w:tab w:val="right" w:leader="dot" w:pos="8306"/>
              <w:tab w:val="clear" w:pos="105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_Toc4418 </w:instrText>
          </w:r>
          <w:r>
            <w:rPr>
              <w:rFonts w:ascii="Times New Roman" w:hAnsi="Times New Roman" w:cs="Times New Roman"/>
              <w:bCs/>
              <w:lang w:val="zh-CN"/>
            </w:rPr>
            <w:fldChar w:fldCharType="separate"/>
          </w:r>
          <w:r>
            <w:rPr>
              <w:rFonts w:hint="eastAsia"/>
            </w:rPr>
            <w:t>4.8 劳动安全与职业卫生</w:t>
          </w:r>
          <w:r>
            <w:tab/>
          </w:r>
          <w:r>
            <w:fldChar w:fldCharType="begin"/>
          </w:r>
          <w:r>
            <w:instrText xml:space="preserve"> PAGEREF _Toc4418 \h </w:instrText>
          </w:r>
          <w:r>
            <w:fldChar w:fldCharType="separate"/>
          </w:r>
          <w:r>
            <w:t>47</w:t>
          </w:r>
          <w:r>
            <w:fldChar w:fldCharType="end"/>
          </w:r>
          <w:r>
            <w:rPr>
              <w:rFonts w:ascii="Times New Roman" w:hAnsi="Times New Roman" w:cs="Times New Roman"/>
              <w:bCs/>
              <w:color w:val="auto"/>
              <w:lang w:val="zh-CN"/>
            </w:rPr>
            <w:fldChar w:fldCharType="end"/>
          </w:r>
        </w:p>
        <w:p>
          <w:pPr>
            <w:pStyle w:val="13"/>
            <w:tabs>
              <w:tab w:val="right" w:leader="dot" w:pos="8306"/>
              <w:tab w:val="clear" w:pos="105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_Toc21066 </w:instrText>
          </w:r>
          <w:r>
            <w:rPr>
              <w:rFonts w:ascii="Times New Roman" w:hAnsi="Times New Roman" w:cs="Times New Roman"/>
              <w:bCs/>
              <w:lang w:val="zh-CN"/>
            </w:rPr>
            <w:fldChar w:fldCharType="separate"/>
          </w:r>
          <w:r>
            <w:rPr>
              <w:rFonts w:hint="eastAsia"/>
            </w:rPr>
            <w:t>4.9 运营管理</w:t>
          </w:r>
          <w:r>
            <w:tab/>
          </w:r>
          <w:r>
            <w:fldChar w:fldCharType="begin"/>
          </w:r>
          <w:r>
            <w:instrText xml:space="preserve"> PAGEREF _Toc21066 \h </w:instrText>
          </w:r>
          <w:r>
            <w:fldChar w:fldCharType="separate"/>
          </w:r>
          <w:r>
            <w:t>47</w:t>
          </w:r>
          <w:r>
            <w:fldChar w:fldCharType="end"/>
          </w:r>
          <w:r>
            <w:rPr>
              <w:rFonts w:ascii="Times New Roman" w:hAnsi="Times New Roman" w:cs="Times New Roman"/>
              <w:bCs/>
              <w:color w:val="auto"/>
              <w:lang w:val="zh-CN"/>
            </w:rPr>
            <w:fldChar w:fldCharType="end"/>
          </w:r>
        </w:p>
        <w:p>
          <w:pPr>
            <w:pStyle w:val="12"/>
            <w:tabs>
              <w:tab w:val="right" w:leader="dot" w:pos="8306"/>
              <w:tab w:val="clear" w:pos="42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_Toc5206 </w:instrText>
          </w:r>
          <w:r>
            <w:rPr>
              <w:rFonts w:ascii="Times New Roman" w:hAnsi="Times New Roman" w:cs="Times New Roman"/>
              <w:bCs/>
              <w:lang w:val="zh-CN"/>
            </w:rPr>
            <w:fldChar w:fldCharType="separate"/>
          </w:r>
          <w:r>
            <w:rPr>
              <w:rFonts w:hint="eastAsia" w:ascii="Times New Roman" w:hAnsi="Times New Roman" w:cs="Times New Roman"/>
            </w:rPr>
            <w:t xml:space="preserve">5 </w:t>
          </w:r>
          <w:r>
            <w:rPr>
              <w:rFonts w:ascii="Times New Roman" w:hAnsi="Times New Roman" w:cs="Times New Roman"/>
            </w:rPr>
            <w:t>主要国家、地区及国际组织相关标准研究</w:t>
          </w:r>
          <w:r>
            <w:tab/>
          </w:r>
          <w:r>
            <w:fldChar w:fldCharType="begin"/>
          </w:r>
          <w:r>
            <w:instrText xml:space="preserve"> PAGEREF _Toc5206 \h </w:instrText>
          </w:r>
          <w:r>
            <w:fldChar w:fldCharType="separate"/>
          </w:r>
          <w:r>
            <w:t>47</w:t>
          </w:r>
          <w:r>
            <w:fldChar w:fldCharType="end"/>
          </w:r>
          <w:r>
            <w:rPr>
              <w:rFonts w:ascii="Times New Roman" w:hAnsi="Times New Roman" w:cs="Times New Roman"/>
              <w:bCs/>
              <w:color w:val="auto"/>
              <w:lang w:val="zh-CN"/>
            </w:rPr>
            <w:fldChar w:fldCharType="end"/>
          </w:r>
        </w:p>
        <w:p>
          <w:pPr>
            <w:pStyle w:val="13"/>
            <w:tabs>
              <w:tab w:val="right" w:leader="dot" w:pos="8306"/>
              <w:tab w:val="clear" w:pos="105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_Toc12150 </w:instrText>
          </w:r>
          <w:r>
            <w:rPr>
              <w:rFonts w:ascii="Times New Roman" w:hAnsi="Times New Roman" w:cs="Times New Roman"/>
              <w:bCs/>
              <w:lang w:val="zh-CN"/>
            </w:rPr>
            <w:fldChar w:fldCharType="separate"/>
          </w:r>
          <w:r>
            <w:rPr>
              <w:rFonts w:hint="eastAsia" w:cs="Times New Roman"/>
            </w:rPr>
            <w:t xml:space="preserve">5.1 </w:t>
          </w:r>
          <w:r>
            <w:rPr>
              <w:rFonts w:cs="Times New Roman"/>
            </w:rPr>
            <w:t>国内医疗废物</w:t>
          </w:r>
          <w:r>
            <w:rPr>
              <w:rFonts w:hint="eastAsia" w:cs="Times New Roman"/>
            </w:rPr>
            <w:t>管理体系</w:t>
          </w:r>
          <w:r>
            <w:tab/>
          </w:r>
          <w:r>
            <w:fldChar w:fldCharType="begin"/>
          </w:r>
          <w:r>
            <w:instrText xml:space="preserve"> PAGEREF _Toc12150 \h </w:instrText>
          </w:r>
          <w:r>
            <w:fldChar w:fldCharType="separate"/>
          </w:r>
          <w:r>
            <w:t>47</w:t>
          </w:r>
          <w:r>
            <w:fldChar w:fldCharType="end"/>
          </w:r>
          <w:r>
            <w:rPr>
              <w:rFonts w:ascii="Times New Roman" w:hAnsi="Times New Roman" w:cs="Times New Roman"/>
              <w:bCs/>
              <w:color w:val="auto"/>
              <w:lang w:val="zh-CN"/>
            </w:rPr>
            <w:fldChar w:fldCharType="end"/>
          </w:r>
        </w:p>
        <w:p>
          <w:pPr>
            <w:pStyle w:val="7"/>
            <w:tabs>
              <w:tab w:val="right" w:leader="dot" w:pos="8306"/>
              <w:tab w:val="clear" w:pos="168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_Toc10302 </w:instrText>
          </w:r>
          <w:r>
            <w:rPr>
              <w:rFonts w:ascii="Times New Roman" w:hAnsi="Times New Roman" w:cs="Times New Roman"/>
              <w:bCs/>
              <w:lang w:val="zh-CN"/>
            </w:rPr>
            <w:fldChar w:fldCharType="separate"/>
          </w:r>
          <w:r>
            <w:rPr>
              <w:rFonts w:hint="eastAsia" w:cs="Times New Roman"/>
              <w:lang w:val="zh-CN"/>
            </w:rPr>
            <w:t>5.1.1 法律法规及政策要求</w:t>
          </w:r>
          <w:r>
            <w:tab/>
          </w:r>
          <w:r>
            <w:fldChar w:fldCharType="begin"/>
          </w:r>
          <w:r>
            <w:instrText xml:space="preserve"> PAGEREF _Toc10302 \h </w:instrText>
          </w:r>
          <w:r>
            <w:fldChar w:fldCharType="separate"/>
          </w:r>
          <w:r>
            <w:t>50</w:t>
          </w:r>
          <w:r>
            <w:fldChar w:fldCharType="end"/>
          </w:r>
          <w:r>
            <w:rPr>
              <w:rFonts w:ascii="Times New Roman" w:hAnsi="Times New Roman" w:cs="Times New Roman"/>
              <w:bCs/>
              <w:color w:val="auto"/>
              <w:lang w:val="zh-CN"/>
            </w:rPr>
            <w:fldChar w:fldCharType="end"/>
          </w:r>
        </w:p>
        <w:p>
          <w:pPr>
            <w:pStyle w:val="7"/>
            <w:tabs>
              <w:tab w:val="right" w:leader="dot" w:pos="8306"/>
              <w:tab w:val="clear" w:pos="168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_Toc21919 </w:instrText>
          </w:r>
          <w:r>
            <w:rPr>
              <w:rFonts w:ascii="Times New Roman" w:hAnsi="Times New Roman" w:cs="Times New Roman"/>
              <w:bCs/>
              <w:lang w:val="zh-CN"/>
            </w:rPr>
            <w:fldChar w:fldCharType="separate"/>
          </w:r>
          <w:r>
            <w:rPr>
              <w:rFonts w:hint="eastAsia" w:cs="Times New Roman"/>
              <w:lang w:val="zh-CN"/>
            </w:rPr>
            <w:t xml:space="preserve">5.1.2 </w:t>
          </w:r>
          <w:r>
            <w:rPr>
              <w:rFonts w:cs="Times New Roman"/>
              <w:lang w:val="zh-CN"/>
            </w:rPr>
            <w:t>相关标准</w:t>
          </w:r>
          <w:r>
            <w:rPr>
              <w:rFonts w:hint="eastAsia" w:cs="Times New Roman"/>
              <w:lang w:val="zh-CN"/>
            </w:rPr>
            <w:t>要求</w:t>
          </w:r>
          <w:r>
            <w:tab/>
          </w:r>
          <w:r>
            <w:fldChar w:fldCharType="begin"/>
          </w:r>
          <w:r>
            <w:instrText xml:space="preserve"> PAGEREF _Toc21919 \h </w:instrText>
          </w:r>
          <w:r>
            <w:fldChar w:fldCharType="separate"/>
          </w:r>
          <w:r>
            <w:t>51</w:t>
          </w:r>
          <w:r>
            <w:fldChar w:fldCharType="end"/>
          </w:r>
          <w:r>
            <w:rPr>
              <w:rFonts w:ascii="Times New Roman" w:hAnsi="Times New Roman" w:cs="Times New Roman"/>
              <w:bCs/>
              <w:color w:val="auto"/>
              <w:lang w:val="zh-CN"/>
            </w:rPr>
            <w:fldChar w:fldCharType="end"/>
          </w:r>
        </w:p>
        <w:p>
          <w:pPr>
            <w:pStyle w:val="7"/>
            <w:tabs>
              <w:tab w:val="right" w:leader="dot" w:pos="8306"/>
              <w:tab w:val="clear" w:pos="168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_Toc25539 </w:instrText>
          </w:r>
          <w:r>
            <w:rPr>
              <w:rFonts w:ascii="Times New Roman" w:hAnsi="Times New Roman" w:cs="Times New Roman"/>
              <w:bCs/>
              <w:lang w:val="zh-CN"/>
            </w:rPr>
            <w:fldChar w:fldCharType="separate"/>
          </w:r>
          <w:r>
            <w:rPr>
              <w:rFonts w:hint="eastAsia" w:cs="Times New Roman"/>
              <w:lang w:val="zh-CN"/>
            </w:rPr>
            <w:t>5.1.3 豁免管理</w:t>
          </w:r>
          <w:r>
            <w:tab/>
          </w:r>
          <w:r>
            <w:fldChar w:fldCharType="begin"/>
          </w:r>
          <w:r>
            <w:instrText xml:space="preserve"> PAGEREF _Toc25539 \h </w:instrText>
          </w:r>
          <w:r>
            <w:fldChar w:fldCharType="separate"/>
          </w:r>
          <w:r>
            <w:t>53</w:t>
          </w:r>
          <w:r>
            <w:fldChar w:fldCharType="end"/>
          </w:r>
          <w:r>
            <w:rPr>
              <w:rFonts w:ascii="Times New Roman" w:hAnsi="Times New Roman" w:cs="Times New Roman"/>
              <w:bCs/>
              <w:color w:val="auto"/>
              <w:lang w:val="zh-CN"/>
            </w:rPr>
            <w:fldChar w:fldCharType="end"/>
          </w:r>
        </w:p>
        <w:p>
          <w:pPr>
            <w:pStyle w:val="7"/>
            <w:tabs>
              <w:tab w:val="right" w:leader="dot" w:pos="8306"/>
              <w:tab w:val="clear" w:pos="168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_Toc7732 </w:instrText>
          </w:r>
          <w:r>
            <w:rPr>
              <w:rFonts w:ascii="Times New Roman" w:hAnsi="Times New Roman" w:cs="Times New Roman"/>
              <w:bCs/>
              <w:lang w:val="zh-CN"/>
            </w:rPr>
            <w:fldChar w:fldCharType="separate"/>
          </w:r>
          <w:r>
            <w:rPr>
              <w:rFonts w:hint="eastAsia" w:cs="Times New Roman"/>
              <w:lang w:val="zh-CN"/>
            </w:rPr>
            <w:t>5.1.4 存在的问题</w:t>
          </w:r>
          <w:r>
            <w:tab/>
          </w:r>
          <w:r>
            <w:fldChar w:fldCharType="begin"/>
          </w:r>
          <w:r>
            <w:instrText xml:space="preserve"> PAGEREF _Toc7732 \h </w:instrText>
          </w:r>
          <w:r>
            <w:fldChar w:fldCharType="separate"/>
          </w:r>
          <w:r>
            <w:t>55</w:t>
          </w:r>
          <w:r>
            <w:fldChar w:fldCharType="end"/>
          </w:r>
          <w:r>
            <w:rPr>
              <w:rFonts w:ascii="Times New Roman" w:hAnsi="Times New Roman" w:cs="Times New Roman"/>
              <w:bCs/>
              <w:color w:val="auto"/>
              <w:lang w:val="zh-CN"/>
            </w:rPr>
            <w:fldChar w:fldCharType="end"/>
          </w:r>
        </w:p>
        <w:p>
          <w:pPr>
            <w:pStyle w:val="13"/>
            <w:tabs>
              <w:tab w:val="right" w:leader="dot" w:pos="8306"/>
              <w:tab w:val="clear" w:pos="105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_Toc2361 </w:instrText>
          </w:r>
          <w:r>
            <w:rPr>
              <w:rFonts w:ascii="Times New Roman" w:hAnsi="Times New Roman" w:cs="Times New Roman"/>
              <w:bCs/>
              <w:lang w:val="zh-CN"/>
            </w:rPr>
            <w:fldChar w:fldCharType="separate"/>
          </w:r>
          <w:r>
            <w:rPr>
              <w:rFonts w:hint="eastAsia" w:cs="Times New Roman"/>
            </w:rPr>
            <w:t xml:space="preserve">5.2 </w:t>
          </w:r>
          <w:r>
            <w:rPr>
              <w:rFonts w:cs="Times New Roman"/>
            </w:rPr>
            <w:t>国外医疗废物</w:t>
          </w:r>
          <w:r>
            <w:rPr>
              <w:rFonts w:hint="eastAsia" w:cs="Times New Roman"/>
            </w:rPr>
            <w:t>管理体系</w:t>
          </w:r>
          <w:r>
            <w:tab/>
          </w:r>
          <w:r>
            <w:fldChar w:fldCharType="begin"/>
          </w:r>
          <w:r>
            <w:instrText xml:space="preserve"> PAGEREF _Toc2361 \h </w:instrText>
          </w:r>
          <w:r>
            <w:fldChar w:fldCharType="separate"/>
          </w:r>
          <w:r>
            <w:t>56</w:t>
          </w:r>
          <w:r>
            <w:fldChar w:fldCharType="end"/>
          </w:r>
          <w:r>
            <w:rPr>
              <w:rFonts w:ascii="Times New Roman" w:hAnsi="Times New Roman" w:cs="Times New Roman"/>
              <w:bCs/>
              <w:color w:val="auto"/>
              <w:lang w:val="zh-CN"/>
            </w:rPr>
            <w:fldChar w:fldCharType="end"/>
          </w:r>
        </w:p>
        <w:p>
          <w:pPr>
            <w:pStyle w:val="7"/>
            <w:tabs>
              <w:tab w:val="right" w:leader="dot" w:pos="8306"/>
              <w:tab w:val="clear" w:pos="168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_Toc24146 </w:instrText>
          </w:r>
          <w:r>
            <w:rPr>
              <w:rFonts w:ascii="Times New Roman" w:hAnsi="Times New Roman" w:cs="Times New Roman"/>
              <w:bCs/>
              <w:lang w:val="zh-CN"/>
            </w:rPr>
            <w:fldChar w:fldCharType="separate"/>
          </w:r>
          <w:r>
            <w:rPr>
              <w:rFonts w:hint="eastAsia" w:cs="Times New Roman"/>
              <w:lang w:val="zh-CN"/>
            </w:rPr>
            <w:t xml:space="preserve">5.2.1 </w:t>
          </w:r>
          <w:r>
            <w:rPr>
              <w:rFonts w:cs="Times New Roman"/>
            </w:rPr>
            <w:t>国际社会对医疗废物</w:t>
          </w:r>
          <w:r>
            <w:rPr>
              <w:rFonts w:hint="eastAsia" w:cs="Times New Roman"/>
            </w:rPr>
            <w:t>的</w:t>
          </w:r>
          <w:r>
            <w:rPr>
              <w:rFonts w:cs="Times New Roman"/>
            </w:rPr>
            <w:t>处置和管理要求</w:t>
          </w:r>
          <w:r>
            <w:tab/>
          </w:r>
          <w:r>
            <w:fldChar w:fldCharType="begin"/>
          </w:r>
          <w:r>
            <w:instrText xml:space="preserve"> PAGEREF _Toc24146 \h </w:instrText>
          </w:r>
          <w:r>
            <w:fldChar w:fldCharType="separate"/>
          </w:r>
          <w:r>
            <w:t>56</w:t>
          </w:r>
          <w:r>
            <w:fldChar w:fldCharType="end"/>
          </w:r>
          <w:r>
            <w:rPr>
              <w:rFonts w:ascii="Times New Roman" w:hAnsi="Times New Roman" w:cs="Times New Roman"/>
              <w:bCs/>
              <w:color w:val="auto"/>
              <w:lang w:val="zh-CN"/>
            </w:rPr>
            <w:fldChar w:fldCharType="end"/>
          </w:r>
        </w:p>
        <w:p>
          <w:pPr>
            <w:pStyle w:val="7"/>
            <w:tabs>
              <w:tab w:val="right" w:leader="dot" w:pos="8306"/>
              <w:tab w:val="clear" w:pos="168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_Toc11514 </w:instrText>
          </w:r>
          <w:r>
            <w:rPr>
              <w:rFonts w:ascii="Times New Roman" w:hAnsi="Times New Roman" w:cs="Times New Roman"/>
              <w:bCs/>
              <w:lang w:val="zh-CN"/>
            </w:rPr>
            <w:fldChar w:fldCharType="separate"/>
          </w:r>
          <w:r>
            <w:rPr>
              <w:rFonts w:hint="eastAsia" w:cs="Times New Roman"/>
              <w:lang w:val="zh-CN"/>
            </w:rPr>
            <w:t xml:space="preserve">5.2.2 </w:t>
          </w:r>
          <w:r>
            <w:rPr>
              <w:rFonts w:cs="Times New Roman"/>
              <w:lang w:val="zh-CN"/>
            </w:rPr>
            <w:t>国外</w:t>
          </w:r>
          <w:r>
            <w:rPr>
              <w:rFonts w:hint="eastAsia" w:cs="Times New Roman"/>
              <w:lang w:val="zh-CN"/>
            </w:rPr>
            <w:t>医疗废物管理体系</w:t>
          </w:r>
          <w:r>
            <w:tab/>
          </w:r>
          <w:r>
            <w:fldChar w:fldCharType="begin"/>
          </w:r>
          <w:r>
            <w:instrText xml:space="preserve"> PAGEREF _Toc11514 \h </w:instrText>
          </w:r>
          <w:r>
            <w:fldChar w:fldCharType="separate"/>
          </w:r>
          <w:r>
            <w:t>60</w:t>
          </w:r>
          <w:r>
            <w:fldChar w:fldCharType="end"/>
          </w:r>
          <w:r>
            <w:rPr>
              <w:rFonts w:ascii="Times New Roman" w:hAnsi="Times New Roman" w:cs="Times New Roman"/>
              <w:bCs/>
              <w:color w:val="auto"/>
              <w:lang w:val="zh-CN"/>
            </w:rPr>
            <w:fldChar w:fldCharType="end"/>
          </w:r>
        </w:p>
        <w:p>
          <w:pPr>
            <w:pStyle w:val="13"/>
            <w:tabs>
              <w:tab w:val="right" w:leader="dot" w:pos="8306"/>
              <w:tab w:val="clear" w:pos="105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_Toc26070 </w:instrText>
          </w:r>
          <w:r>
            <w:rPr>
              <w:rFonts w:ascii="Times New Roman" w:hAnsi="Times New Roman" w:cs="Times New Roman"/>
              <w:bCs/>
              <w:lang w:val="zh-CN"/>
            </w:rPr>
            <w:fldChar w:fldCharType="separate"/>
          </w:r>
          <w:r>
            <w:rPr>
              <w:rFonts w:hint="eastAsia" w:cs="Times New Roman"/>
            </w:rPr>
            <w:t xml:space="preserve">5.3 </w:t>
          </w:r>
          <w:r>
            <w:rPr>
              <w:rFonts w:cs="Times New Roman"/>
            </w:rPr>
            <w:t>国内外医疗废物处理处置污染控制要求</w:t>
          </w:r>
          <w:r>
            <w:rPr>
              <w:rFonts w:hint="eastAsia" w:cs="Times New Roman"/>
            </w:rPr>
            <w:t>对比</w:t>
          </w:r>
          <w:r>
            <w:tab/>
          </w:r>
          <w:r>
            <w:fldChar w:fldCharType="begin"/>
          </w:r>
          <w:r>
            <w:instrText xml:space="preserve"> PAGEREF _Toc26070 \h </w:instrText>
          </w:r>
          <w:r>
            <w:fldChar w:fldCharType="separate"/>
          </w:r>
          <w:r>
            <w:t>65</w:t>
          </w:r>
          <w:r>
            <w:fldChar w:fldCharType="end"/>
          </w:r>
          <w:r>
            <w:rPr>
              <w:rFonts w:ascii="Times New Roman" w:hAnsi="Times New Roman" w:cs="Times New Roman"/>
              <w:bCs/>
              <w:color w:val="auto"/>
              <w:lang w:val="zh-CN"/>
            </w:rPr>
            <w:fldChar w:fldCharType="end"/>
          </w:r>
        </w:p>
        <w:p>
          <w:pPr>
            <w:pStyle w:val="13"/>
            <w:tabs>
              <w:tab w:val="right" w:leader="dot" w:pos="8306"/>
              <w:tab w:val="clear" w:pos="105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_Toc24759 </w:instrText>
          </w:r>
          <w:r>
            <w:rPr>
              <w:rFonts w:ascii="Times New Roman" w:hAnsi="Times New Roman" w:cs="Times New Roman"/>
              <w:bCs/>
              <w:lang w:val="zh-CN"/>
            </w:rPr>
            <w:fldChar w:fldCharType="separate"/>
          </w:r>
          <w:r>
            <w:rPr>
              <w:rFonts w:hint="eastAsia" w:cs="Times New Roman"/>
            </w:rPr>
            <w:t xml:space="preserve">5.4 </w:t>
          </w:r>
          <w:r>
            <w:rPr>
              <w:rFonts w:cs="Times New Roman"/>
            </w:rPr>
            <w:t>突发疫情下各国医疗废物管理政策</w:t>
          </w:r>
          <w:r>
            <w:tab/>
          </w:r>
          <w:r>
            <w:fldChar w:fldCharType="begin"/>
          </w:r>
          <w:r>
            <w:instrText xml:space="preserve"> PAGEREF _Toc24759 \h </w:instrText>
          </w:r>
          <w:r>
            <w:fldChar w:fldCharType="separate"/>
          </w:r>
          <w:r>
            <w:t>69</w:t>
          </w:r>
          <w:r>
            <w:fldChar w:fldCharType="end"/>
          </w:r>
          <w:r>
            <w:rPr>
              <w:rFonts w:ascii="Times New Roman" w:hAnsi="Times New Roman" w:cs="Times New Roman"/>
              <w:bCs/>
              <w:color w:val="auto"/>
              <w:lang w:val="zh-CN"/>
            </w:rPr>
            <w:fldChar w:fldCharType="end"/>
          </w:r>
        </w:p>
        <w:p>
          <w:pPr>
            <w:pStyle w:val="7"/>
            <w:tabs>
              <w:tab w:val="right" w:leader="dot" w:pos="8306"/>
              <w:tab w:val="clear" w:pos="168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_Toc1001 </w:instrText>
          </w:r>
          <w:r>
            <w:rPr>
              <w:rFonts w:ascii="Times New Roman" w:hAnsi="Times New Roman" w:cs="Times New Roman"/>
              <w:bCs/>
              <w:lang w:val="zh-CN"/>
            </w:rPr>
            <w:fldChar w:fldCharType="separate"/>
          </w:r>
          <w:r>
            <w:rPr>
              <w:rFonts w:hint="eastAsia" w:cs="Times New Roman"/>
              <w:lang w:val="zh-CN"/>
            </w:rPr>
            <w:t>5.4.1 国内疫情下的医废管理</w:t>
          </w:r>
          <w:r>
            <w:tab/>
          </w:r>
          <w:r>
            <w:fldChar w:fldCharType="begin"/>
          </w:r>
          <w:r>
            <w:instrText xml:space="preserve"> PAGEREF _Toc1001 \h </w:instrText>
          </w:r>
          <w:r>
            <w:fldChar w:fldCharType="separate"/>
          </w:r>
          <w:r>
            <w:t>69</w:t>
          </w:r>
          <w:r>
            <w:fldChar w:fldCharType="end"/>
          </w:r>
          <w:r>
            <w:rPr>
              <w:rFonts w:ascii="Times New Roman" w:hAnsi="Times New Roman" w:cs="Times New Roman"/>
              <w:bCs/>
              <w:color w:val="auto"/>
              <w:lang w:val="zh-CN"/>
            </w:rPr>
            <w:fldChar w:fldCharType="end"/>
          </w:r>
        </w:p>
        <w:p>
          <w:pPr>
            <w:pStyle w:val="7"/>
            <w:tabs>
              <w:tab w:val="right" w:leader="dot" w:pos="8306"/>
              <w:tab w:val="clear" w:pos="168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_Toc4673 </w:instrText>
          </w:r>
          <w:r>
            <w:rPr>
              <w:rFonts w:ascii="Times New Roman" w:hAnsi="Times New Roman" w:cs="Times New Roman"/>
              <w:bCs/>
              <w:lang w:val="zh-CN"/>
            </w:rPr>
            <w:fldChar w:fldCharType="separate"/>
          </w:r>
          <w:r>
            <w:rPr>
              <w:rFonts w:hint="eastAsia" w:cs="Times New Roman"/>
              <w:lang w:val="zh-CN"/>
            </w:rPr>
            <w:t>5.4.2 国外疫情下的医废管理</w:t>
          </w:r>
          <w:r>
            <w:tab/>
          </w:r>
          <w:r>
            <w:fldChar w:fldCharType="begin"/>
          </w:r>
          <w:r>
            <w:instrText xml:space="preserve"> PAGEREF _Toc4673 \h </w:instrText>
          </w:r>
          <w:r>
            <w:fldChar w:fldCharType="separate"/>
          </w:r>
          <w:r>
            <w:t>70</w:t>
          </w:r>
          <w:r>
            <w:fldChar w:fldCharType="end"/>
          </w:r>
          <w:r>
            <w:rPr>
              <w:rFonts w:ascii="Times New Roman" w:hAnsi="Times New Roman" w:cs="Times New Roman"/>
              <w:bCs/>
              <w:color w:val="auto"/>
              <w:lang w:val="zh-CN"/>
            </w:rPr>
            <w:fldChar w:fldCharType="end"/>
          </w:r>
        </w:p>
        <w:p>
          <w:pPr>
            <w:pStyle w:val="7"/>
            <w:tabs>
              <w:tab w:val="right" w:leader="dot" w:pos="8306"/>
              <w:tab w:val="clear" w:pos="168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_Toc9504 </w:instrText>
          </w:r>
          <w:r>
            <w:rPr>
              <w:rFonts w:ascii="Times New Roman" w:hAnsi="Times New Roman" w:cs="Times New Roman"/>
              <w:bCs/>
              <w:lang w:val="zh-CN"/>
            </w:rPr>
            <w:fldChar w:fldCharType="separate"/>
          </w:r>
          <w:r>
            <w:rPr>
              <w:rFonts w:hint="eastAsia"/>
            </w:rPr>
            <w:t>5.4.3 疫情下医废管理特点</w:t>
          </w:r>
          <w:r>
            <w:tab/>
          </w:r>
          <w:r>
            <w:fldChar w:fldCharType="begin"/>
          </w:r>
          <w:r>
            <w:instrText xml:space="preserve"> PAGEREF _Toc9504 \h </w:instrText>
          </w:r>
          <w:r>
            <w:fldChar w:fldCharType="separate"/>
          </w:r>
          <w:r>
            <w:t>72</w:t>
          </w:r>
          <w:r>
            <w:fldChar w:fldCharType="end"/>
          </w:r>
          <w:r>
            <w:rPr>
              <w:rFonts w:ascii="Times New Roman" w:hAnsi="Times New Roman" w:cs="Times New Roman"/>
              <w:bCs/>
              <w:color w:val="auto"/>
              <w:lang w:val="zh-CN"/>
            </w:rPr>
            <w:fldChar w:fldCharType="end"/>
          </w:r>
        </w:p>
        <w:p>
          <w:pPr>
            <w:pStyle w:val="13"/>
            <w:tabs>
              <w:tab w:val="right" w:leader="dot" w:pos="8306"/>
              <w:tab w:val="clear" w:pos="105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_Toc446 </w:instrText>
          </w:r>
          <w:r>
            <w:rPr>
              <w:rFonts w:ascii="Times New Roman" w:hAnsi="Times New Roman" w:cs="Times New Roman"/>
              <w:bCs/>
              <w:lang w:val="zh-CN"/>
            </w:rPr>
            <w:fldChar w:fldCharType="separate"/>
          </w:r>
          <w:r>
            <w:rPr>
              <w:rFonts w:hint="eastAsia" w:cs="Times New Roman"/>
            </w:rPr>
            <w:t>5.5 江苏省地方</w:t>
          </w:r>
          <w:r>
            <w:rPr>
              <w:rFonts w:cs="Times New Roman"/>
            </w:rPr>
            <w:t>医疗废物</w:t>
          </w:r>
          <w:r>
            <w:rPr>
              <w:rFonts w:hint="eastAsia" w:cs="Times New Roman"/>
            </w:rPr>
            <w:t>管理</w:t>
          </w:r>
          <w:r>
            <w:rPr>
              <w:rFonts w:cs="Times New Roman"/>
            </w:rPr>
            <w:t>政策</w:t>
          </w:r>
          <w:r>
            <w:tab/>
          </w:r>
          <w:r>
            <w:fldChar w:fldCharType="begin"/>
          </w:r>
          <w:r>
            <w:instrText xml:space="preserve"> PAGEREF _Toc446 \h </w:instrText>
          </w:r>
          <w:r>
            <w:fldChar w:fldCharType="separate"/>
          </w:r>
          <w:r>
            <w:t>72</w:t>
          </w:r>
          <w:r>
            <w:fldChar w:fldCharType="end"/>
          </w:r>
          <w:r>
            <w:rPr>
              <w:rFonts w:ascii="Times New Roman" w:hAnsi="Times New Roman" w:cs="Times New Roman"/>
              <w:bCs/>
              <w:color w:val="auto"/>
              <w:lang w:val="zh-CN"/>
            </w:rPr>
            <w:fldChar w:fldCharType="end"/>
          </w:r>
        </w:p>
        <w:p>
          <w:pPr>
            <w:pStyle w:val="7"/>
            <w:tabs>
              <w:tab w:val="right" w:leader="dot" w:pos="8306"/>
              <w:tab w:val="clear" w:pos="168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_Toc32612 </w:instrText>
          </w:r>
          <w:r>
            <w:rPr>
              <w:rFonts w:ascii="Times New Roman" w:hAnsi="Times New Roman" w:cs="Times New Roman"/>
              <w:bCs/>
              <w:lang w:val="zh-CN"/>
            </w:rPr>
            <w:fldChar w:fldCharType="separate"/>
          </w:r>
          <w:r>
            <w:rPr>
              <w:rFonts w:hint="eastAsia"/>
            </w:rPr>
            <w:t xml:space="preserve">5.5.1 </w:t>
          </w:r>
          <w:r>
            <w:rPr>
              <w:rFonts w:cs="Times New Roman"/>
            </w:rPr>
            <w:t>地方政策与</w:t>
          </w:r>
          <w:r>
            <w:rPr>
              <w:rFonts w:hint="eastAsia" w:cs="Times New Roman"/>
            </w:rPr>
            <w:t>要求</w:t>
          </w:r>
          <w:r>
            <w:tab/>
          </w:r>
          <w:r>
            <w:fldChar w:fldCharType="begin"/>
          </w:r>
          <w:r>
            <w:instrText xml:space="preserve"> PAGEREF _Toc32612 \h </w:instrText>
          </w:r>
          <w:r>
            <w:fldChar w:fldCharType="separate"/>
          </w:r>
          <w:r>
            <w:t>72</w:t>
          </w:r>
          <w:r>
            <w:fldChar w:fldCharType="end"/>
          </w:r>
          <w:r>
            <w:rPr>
              <w:rFonts w:ascii="Times New Roman" w:hAnsi="Times New Roman" w:cs="Times New Roman"/>
              <w:bCs/>
              <w:color w:val="auto"/>
              <w:lang w:val="zh-CN"/>
            </w:rPr>
            <w:fldChar w:fldCharType="end"/>
          </w:r>
        </w:p>
        <w:p>
          <w:pPr>
            <w:pStyle w:val="7"/>
            <w:tabs>
              <w:tab w:val="right" w:leader="dot" w:pos="8306"/>
              <w:tab w:val="clear" w:pos="168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_Toc4710 </w:instrText>
          </w:r>
          <w:r>
            <w:rPr>
              <w:rFonts w:ascii="Times New Roman" w:hAnsi="Times New Roman" w:cs="Times New Roman"/>
              <w:bCs/>
              <w:lang w:val="zh-CN"/>
            </w:rPr>
            <w:fldChar w:fldCharType="separate"/>
          </w:r>
          <w:r>
            <w:rPr>
              <w:rFonts w:hint="eastAsia" w:cs="Times New Roman"/>
            </w:rPr>
            <w:t>5.5.2 疫情下的医废管理</w:t>
          </w:r>
          <w:r>
            <w:tab/>
          </w:r>
          <w:r>
            <w:fldChar w:fldCharType="begin"/>
          </w:r>
          <w:r>
            <w:instrText xml:space="preserve"> PAGEREF _Toc4710 \h </w:instrText>
          </w:r>
          <w:r>
            <w:fldChar w:fldCharType="separate"/>
          </w:r>
          <w:r>
            <w:t>73</w:t>
          </w:r>
          <w:r>
            <w:fldChar w:fldCharType="end"/>
          </w:r>
          <w:r>
            <w:rPr>
              <w:rFonts w:ascii="Times New Roman" w:hAnsi="Times New Roman" w:cs="Times New Roman"/>
              <w:bCs/>
              <w:color w:val="auto"/>
              <w:lang w:val="zh-CN"/>
            </w:rPr>
            <w:fldChar w:fldCharType="end"/>
          </w:r>
        </w:p>
        <w:p>
          <w:pPr>
            <w:pStyle w:val="13"/>
            <w:tabs>
              <w:tab w:val="right" w:leader="dot" w:pos="8306"/>
              <w:tab w:val="clear" w:pos="105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_Toc8756 </w:instrText>
          </w:r>
          <w:r>
            <w:rPr>
              <w:rFonts w:ascii="Times New Roman" w:hAnsi="Times New Roman" w:cs="Times New Roman"/>
              <w:bCs/>
              <w:lang w:val="zh-CN"/>
            </w:rPr>
            <w:fldChar w:fldCharType="separate"/>
          </w:r>
          <w:r>
            <w:rPr>
              <w:rFonts w:hint="eastAsia" w:cs="Times New Roman"/>
            </w:rPr>
            <w:t xml:space="preserve">5.6 </w:t>
          </w:r>
          <w:r>
            <w:rPr>
              <w:rFonts w:cs="Times New Roman"/>
            </w:rPr>
            <w:t>总结</w:t>
          </w:r>
          <w:r>
            <w:tab/>
          </w:r>
          <w:r>
            <w:fldChar w:fldCharType="begin"/>
          </w:r>
          <w:r>
            <w:instrText xml:space="preserve"> PAGEREF _Toc8756 \h </w:instrText>
          </w:r>
          <w:r>
            <w:fldChar w:fldCharType="separate"/>
          </w:r>
          <w:r>
            <w:t>74</w:t>
          </w:r>
          <w:r>
            <w:fldChar w:fldCharType="end"/>
          </w:r>
          <w:r>
            <w:rPr>
              <w:rFonts w:ascii="Times New Roman" w:hAnsi="Times New Roman" w:cs="Times New Roman"/>
              <w:bCs/>
              <w:color w:val="auto"/>
              <w:lang w:val="zh-CN"/>
            </w:rPr>
            <w:fldChar w:fldCharType="end"/>
          </w:r>
        </w:p>
        <w:p>
          <w:pPr>
            <w:pStyle w:val="12"/>
            <w:tabs>
              <w:tab w:val="right" w:leader="dot" w:pos="8306"/>
              <w:tab w:val="clear" w:pos="42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_Toc4664 </w:instrText>
          </w:r>
          <w:r>
            <w:rPr>
              <w:rFonts w:ascii="Times New Roman" w:hAnsi="Times New Roman" w:cs="Times New Roman"/>
              <w:bCs/>
              <w:lang w:val="zh-CN"/>
            </w:rPr>
            <w:fldChar w:fldCharType="separate"/>
          </w:r>
          <w:r>
            <w:rPr>
              <w:rFonts w:hint="eastAsia" w:ascii="Times New Roman" w:hAnsi="Times New Roman" w:cs="Times New Roman"/>
            </w:rPr>
            <w:t xml:space="preserve">6 </w:t>
          </w:r>
          <w:r>
            <w:rPr>
              <w:rFonts w:hint="eastAsia" w:ascii="Times New Roman" w:hAnsi="Times New Roman" w:cs="Times New Roman"/>
              <w:highlight w:val="none"/>
              <w:lang w:val="en-US" w:eastAsia="zh-CN"/>
            </w:rPr>
            <w:t>与</w:t>
          </w:r>
          <w:r>
            <w:rPr>
              <w:rFonts w:ascii="Times New Roman" w:hAnsi="Times New Roman" w:cs="Times New Roman"/>
              <w:highlight w:val="none"/>
            </w:rPr>
            <w:t>相关法律法规和标准</w:t>
          </w:r>
          <w:r>
            <w:rPr>
              <w:rFonts w:hint="eastAsia" w:ascii="Times New Roman" w:hAnsi="Times New Roman" w:cs="Times New Roman"/>
              <w:highlight w:val="none"/>
              <w:lang w:val="en-US" w:eastAsia="zh-CN"/>
            </w:rPr>
            <w:t>的关系</w:t>
          </w:r>
          <w:r>
            <w:tab/>
          </w:r>
          <w:r>
            <w:fldChar w:fldCharType="begin"/>
          </w:r>
          <w:r>
            <w:instrText xml:space="preserve"> PAGEREF _Toc4664 \h </w:instrText>
          </w:r>
          <w:r>
            <w:fldChar w:fldCharType="separate"/>
          </w:r>
          <w:r>
            <w:t>75</w:t>
          </w:r>
          <w:r>
            <w:fldChar w:fldCharType="end"/>
          </w:r>
          <w:r>
            <w:rPr>
              <w:rFonts w:ascii="Times New Roman" w:hAnsi="Times New Roman" w:cs="Times New Roman"/>
              <w:bCs/>
              <w:color w:val="auto"/>
              <w:lang w:val="zh-CN"/>
            </w:rPr>
            <w:fldChar w:fldCharType="end"/>
          </w:r>
        </w:p>
        <w:p>
          <w:pPr>
            <w:pStyle w:val="12"/>
            <w:tabs>
              <w:tab w:val="right" w:leader="dot" w:pos="8306"/>
              <w:tab w:val="clear" w:pos="42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_Toc13842 </w:instrText>
          </w:r>
          <w:r>
            <w:rPr>
              <w:rFonts w:ascii="Times New Roman" w:hAnsi="Times New Roman" w:cs="Times New Roman"/>
              <w:bCs/>
              <w:lang w:val="zh-CN"/>
            </w:rPr>
            <w:fldChar w:fldCharType="separate"/>
          </w:r>
          <w:r>
            <w:rPr>
              <w:rFonts w:hint="eastAsia" w:ascii="Times New Roman" w:hAnsi="Times New Roman" w:cs="Times New Roman"/>
            </w:rPr>
            <w:t xml:space="preserve">7 </w:t>
          </w:r>
          <w:r>
            <w:rPr>
              <w:rFonts w:hint="eastAsia" w:ascii="Times New Roman" w:hAnsi="Times New Roman" w:cs="Times New Roman"/>
              <w:highlight w:val="none"/>
              <w:lang w:val="en-US" w:eastAsia="zh-CN"/>
            </w:rPr>
            <w:t>重大分歧意见</w:t>
          </w:r>
          <w:r>
            <w:tab/>
          </w:r>
          <w:r>
            <w:fldChar w:fldCharType="begin"/>
          </w:r>
          <w:r>
            <w:instrText xml:space="preserve"> PAGEREF _Toc13842 \h </w:instrText>
          </w:r>
          <w:r>
            <w:fldChar w:fldCharType="separate"/>
          </w:r>
          <w:r>
            <w:t>77</w:t>
          </w:r>
          <w:r>
            <w:fldChar w:fldCharType="end"/>
          </w:r>
          <w:r>
            <w:rPr>
              <w:rFonts w:ascii="Times New Roman" w:hAnsi="Times New Roman" w:cs="Times New Roman"/>
              <w:bCs/>
              <w:color w:val="auto"/>
              <w:lang w:val="zh-CN"/>
            </w:rPr>
            <w:fldChar w:fldCharType="end"/>
          </w:r>
        </w:p>
        <w:p>
          <w:pPr>
            <w:pStyle w:val="12"/>
            <w:tabs>
              <w:tab w:val="right" w:leader="dot" w:pos="8306"/>
              <w:tab w:val="clear" w:pos="42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_Toc14408 </w:instrText>
          </w:r>
          <w:r>
            <w:rPr>
              <w:rFonts w:ascii="Times New Roman" w:hAnsi="Times New Roman" w:cs="Times New Roman"/>
              <w:bCs/>
              <w:lang w:val="zh-CN"/>
            </w:rPr>
            <w:fldChar w:fldCharType="separate"/>
          </w:r>
          <w:r>
            <w:rPr>
              <w:rFonts w:hint="eastAsia" w:ascii="Times New Roman" w:hAnsi="Times New Roman" w:cs="Times New Roman"/>
            </w:rPr>
            <w:t xml:space="preserve">8 </w:t>
          </w:r>
          <w:r>
            <w:rPr>
              <w:rFonts w:hint="eastAsia" w:ascii="Times New Roman" w:hAnsi="Times New Roman" w:cs="Times New Roman"/>
              <w:highlight w:val="none"/>
              <w:lang w:val="en-US" w:eastAsia="zh-CN"/>
            </w:rPr>
            <w:t>推广实施建议</w:t>
          </w:r>
          <w:r>
            <w:tab/>
          </w:r>
          <w:r>
            <w:fldChar w:fldCharType="begin"/>
          </w:r>
          <w:r>
            <w:instrText xml:space="preserve"> PAGEREF _Toc14408 \h </w:instrText>
          </w:r>
          <w:r>
            <w:fldChar w:fldCharType="separate"/>
          </w:r>
          <w:r>
            <w:t>77</w:t>
          </w:r>
          <w:r>
            <w:fldChar w:fldCharType="end"/>
          </w:r>
          <w:r>
            <w:rPr>
              <w:rFonts w:ascii="Times New Roman" w:hAnsi="Times New Roman" w:cs="Times New Roman"/>
              <w:bCs/>
              <w:color w:val="auto"/>
              <w:lang w:val="zh-CN"/>
            </w:rPr>
            <w:fldChar w:fldCharType="end"/>
          </w:r>
        </w:p>
        <w:p>
          <w:pPr>
            <w:pStyle w:val="12"/>
            <w:tabs>
              <w:tab w:val="right" w:leader="dot" w:pos="8306"/>
              <w:tab w:val="clear" w:pos="420"/>
              <w:tab w:val="clear" w:pos="8296"/>
            </w:tabs>
          </w:pPr>
          <w:r>
            <w:rPr>
              <w:rFonts w:ascii="Times New Roman" w:hAnsi="Times New Roman" w:cs="Times New Roman"/>
              <w:bCs/>
              <w:color w:val="auto"/>
              <w:lang w:val="zh-CN"/>
            </w:rPr>
            <w:fldChar w:fldCharType="begin"/>
          </w:r>
          <w:r>
            <w:rPr>
              <w:rFonts w:ascii="Times New Roman" w:hAnsi="Times New Roman" w:cs="Times New Roman"/>
              <w:bCs/>
              <w:lang w:val="zh-CN"/>
            </w:rPr>
            <w:instrText xml:space="preserve"> HYPERLINK \l _Toc19463 </w:instrText>
          </w:r>
          <w:r>
            <w:rPr>
              <w:rFonts w:ascii="Times New Roman" w:hAnsi="Times New Roman" w:cs="Times New Roman"/>
              <w:bCs/>
              <w:lang w:val="zh-CN"/>
            </w:rPr>
            <w:fldChar w:fldCharType="separate"/>
          </w:r>
          <w:r>
            <w:rPr>
              <w:rFonts w:hint="eastAsia" w:ascii="Times New Roman" w:hAnsi="Times New Roman" w:cs="Times New Roman"/>
            </w:rPr>
            <w:t xml:space="preserve">9 </w:t>
          </w:r>
          <w:r>
            <w:rPr>
              <w:rFonts w:hint="eastAsia" w:ascii="Times New Roman" w:hAnsi="Times New Roman" w:cs="Times New Roman"/>
              <w:highlight w:val="none"/>
              <w:lang w:val="en-US" w:eastAsia="zh-CN"/>
            </w:rPr>
            <w:t>起草单位和起草人员信息及分工</w:t>
          </w:r>
          <w:r>
            <w:tab/>
          </w:r>
          <w:r>
            <w:fldChar w:fldCharType="begin"/>
          </w:r>
          <w:r>
            <w:instrText xml:space="preserve"> PAGEREF _Toc19463 \h </w:instrText>
          </w:r>
          <w:r>
            <w:fldChar w:fldCharType="separate"/>
          </w:r>
          <w:r>
            <w:t>77</w:t>
          </w:r>
          <w:r>
            <w:fldChar w:fldCharType="end"/>
          </w:r>
          <w:r>
            <w:rPr>
              <w:rFonts w:ascii="Times New Roman" w:hAnsi="Times New Roman" w:cs="Times New Roman"/>
              <w:bCs/>
              <w:color w:val="auto"/>
              <w:lang w:val="zh-CN"/>
            </w:rPr>
            <w:fldChar w:fldCharType="end"/>
          </w:r>
        </w:p>
        <w:p>
          <w:pPr>
            <w:rPr>
              <w:rFonts w:ascii="Times New Roman" w:hAnsi="Times New Roman" w:cs="Times New Roman"/>
              <w:color w:val="auto"/>
            </w:rPr>
          </w:pPr>
          <w:r>
            <w:rPr>
              <w:rFonts w:ascii="Times New Roman" w:hAnsi="Times New Roman" w:cs="Times New Roman"/>
              <w:bCs/>
              <w:color w:val="auto"/>
              <w:lang w:val="zh-CN"/>
            </w:rPr>
            <w:fldChar w:fldCharType="end"/>
          </w:r>
        </w:p>
      </w:sdtContent>
    </w:sdt>
    <w:p>
      <w:pPr>
        <w:rPr>
          <w:rFonts w:ascii="Times New Roman" w:hAnsi="Times New Roman" w:cs="Times New Roman"/>
          <w:color w:val="auto"/>
        </w:rPr>
      </w:pPr>
    </w:p>
    <w:p>
      <w:pPr>
        <w:pStyle w:val="23"/>
        <w:ind w:left="375" w:firstLine="0" w:firstLineChars="0"/>
        <w:rPr>
          <w:rFonts w:ascii="Times New Roman" w:hAnsi="Times New Roman" w:cs="Times New Roman"/>
          <w:color w:val="auto"/>
        </w:rPr>
        <w:sectPr>
          <w:footerReference r:id="rId4" w:type="default"/>
          <w:pgSz w:w="11906" w:h="16838"/>
          <w:pgMar w:top="1440" w:right="1800" w:bottom="1440" w:left="1800" w:header="851" w:footer="992" w:gutter="0"/>
          <w:pgNumType w:fmt="upperRoman" w:start="1"/>
          <w:cols w:space="425" w:num="1"/>
          <w:docGrid w:type="lines" w:linePitch="312" w:charSpace="0"/>
        </w:sectPr>
      </w:pPr>
    </w:p>
    <w:p>
      <w:pPr>
        <w:pStyle w:val="2"/>
        <w:rPr>
          <w:rFonts w:ascii="Times New Roman" w:hAnsi="Times New Roman" w:cs="Times New Roman"/>
          <w:color w:val="auto"/>
        </w:rPr>
      </w:pPr>
      <w:bookmarkStart w:id="8" w:name="_Toc28556"/>
      <w:r>
        <w:rPr>
          <w:rFonts w:ascii="Times New Roman" w:hAnsi="Times New Roman" w:cs="Times New Roman"/>
          <w:color w:val="auto"/>
        </w:rPr>
        <w:t>项目背景</w:t>
      </w:r>
      <w:bookmarkEnd w:id="8"/>
    </w:p>
    <w:p>
      <w:pPr>
        <w:pStyle w:val="3"/>
        <w:rPr>
          <w:rFonts w:cs="Times New Roman"/>
          <w:color w:val="auto"/>
        </w:rPr>
      </w:pPr>
      <w:bookmarkStart w:id="9" w:name="_Toc27394"/>
      <w:r>
        <w:rPr>
          <w:rFonts w:cs="Times New Roman"/>
          <w:color w:val="auto"/>
        </w:rPr>
        <w:t>任务来源</w:t>
      </w:r>
      <w:bookmarkEnd w:id="9"/>
    </w:p>
    <w:p>
      <w:pPr>
        <w:pStyle w:val="32"/>
        <w:ind w:firstLine="480"/>
        <w:rPr>
          <w:color w:val="auto"/>
        </w:rPr>
      </w:pPr>
      <w:r>
        <w:rPr>
          <w:color w:val="auto"/>
        </w:rPr>
        <w:t>《国家危险废物名录》</w:t>
      </w:r>
      <w:r>
        <w:rPr>
          <w:rFonts w:hint="eastAsia"/>
          <w:color w:val="auto"/>
        </w:rPr>
        <w:t>（2021版）</w:t>
      </w:r>
      <w:r>
        <w:rPr>
          <w:color w:val="auto"/>
        </w:rPr>
        <w:t>将医疗废物列为头号危险废物进行管理，代号为HW01。医疗废物中有大量有害物质，包括传染性病毒、病菌、化学污染物等，具有十分严重的危害性</w:t>
      </w:r>
      <w:r>
        <w:rPr>
          <w:color w:val="auto"/>
          <w:szCs w:val="21"/>
        </w:rPr>
        <w:t>——</w:t>
      </w:r>
      <w:r>
        <w:rPr>
          <w:color w:val="auto"/>
        </w:rPr>
        <w:t>极强的传染性和高污染性。</w:t>
      </w:r>
    </w:p>
    <w:p>
      <w:pPr>
        <w:pStyle w:val="32"/>
        <w:ind w:firstLine="480"/>
        <w:rPr>
          <w:color w:val="auto"/>
        </w:rPr>
      </w:pPr>
      <w:r>
        <w:rPr>
          <w:color w:val="auto"/>
        </w:rPr>
        <w:t>医疗废物极易成为疫病的传染源，如果管理不严或处置不当，容易引发医疗废物污染事故，对周边居民的人身安全和当地经济发展造成重大损害。</w:t>
      </w:r>
    </w:p>
    <w:p>
      <w:pPr>
        <w:pStyle w:val="32"/>
        <w:ind w:firstLine="480"/>
        <w:rPr>
          <w:color w:val="auto"/>
        </w:rPr>
      </w:pPr>
      <w:r>
        <w:rPr>
          <w:color w:val="auto"/>
        </w:rPr>
        <w:t>新冠病毒疫情的爆发导致大量医疗废物亟待处置的需求和现有医疗废物处置技术不足之间的矛盾日益凸显。自疫情发生以来国家及地方各级政府和部门也发布一系列相关政策，</w:t>
      </w:r>
      <w:r>
        <w:rPr>
          <w:rFonts w:hint="eastAsia"/>
          <w:color w:val="auto"/>
        </w:rPr>
        <w:t>2</w:t>
      </w:r>
      <w:r>
        <w:rPr>
          <w:color w:val="auto"/>
        </w:rPr>
        <w:t>020</w:t>
      </w:r>
      <w:r>
        <w:rPr>
          <w:rFonts w:hint="eastAsia"/>
          <w:color w:val="auto"/>
        </w:rPr>
        <w:t>年2月中共中央政治局召开会议，对环保方面部署的表述为</w:t>
      </w:r>
      <w:r>
        <w:rPr>
          <w:color w:val="auto"/>
        </w:rPr>
        <w:t>“</w:t>
      </w:r>
      <w:r>
        <w:rPr>
          <w:rFonts w:hint="eastAsia"/>
          <w:color w:val="auto"/>
        </w:rPr>
        <w:t>打好污染防治攻坚战，推动生态环境质量持续好转，</w:t>
      </w:r>
      <w:r>
        <w:rPr>
          <w:color w:val="auto"/>
        </w:rPr>
        <w:t>加快补齐医疗废物、危险废物收集处理设施方面短板”，</w:t>
      </w:r>
      <w:r>
        <w:rPr>
          <w:rFonts w:hint="eastAsia"/>
          <w:color w:val="auto"/>
        </w:rPr>
        <w:t>同期由卫健委、生态环境部、发改委等十部委联合发布的《医疗机构废弃物综合治理工作方案》中要求加强集中处置设施建设，</w:t>
      </w:r>
      <w:r>
        <w:rPr>
          <w:color w:val="auto"/>
        </w:rPr>
        <w:t>“通过引进新技术、更新设备设施等措施，优化处置方式，补齐短板”等。新兴的等离子体</w:t>
      </w:r>
      <w:r>
        <w:rPr>
          <w:rFonts w:hint="eastAsia"/>
          <w:color w:val="auto"/>
        </w:rPr>
        <w:t>医疗废物处置</w:t>
      </w:r>
      <w:r>
        <w:rPr>
          <w:color w:val="auto"/>
        </w:rPr>
        <w:t>技术，能够彻底摧毁二噁英</w:t>
      </w:r>
      <w:r>
        <w:rPr>
          <w:rFonts w:hint="eastAsia"/>
          <w:color w:val="auto"/>
        </w:rPr>
        <w:t>类</w:t>
      </w:r>
      <w:r>
        <w:rPr>
          <w:color w:val="auto"/>
        </w:rPr>
        <w:t>等持久性有机污染物，满足欧盟严苛的排放标准；</w:t>
      </w:r>
      <w:r>
        <w:rPr>
          <w:rFonts w:hint="eastAsia"/>
          <w:color w:val="auto"/>
        </w:rPr>
        <w:t>采用等离子体熔融工艺还可将</w:t>
      </w:r>
      <w:r>
        <w:rPr>
          <w:color w:val="auto"/>
        </w:rPr>
        <w:t>无机</w:t>
      </w:r>
      <w:r>
        <w:rPr>
          <w:rFonts w:hint="eastAsia"/>
          <w:color w:val="auto"/>
        </w:rPr>
        <w:t>炉渣</w:t>
      </w:r>
      <w:r>
        <w:rPr>
          <w:color w:val="auto"/>
        </w:rPr>
        <w:t>熔融形成无害化玻璃体（熔融固化体），</w:t>
      </w:r>
      <w:r>
        <w:rPr>
          <w:rFonts w:hint="eastAsia"/>
          <w:color w:val="auto"/>
        </w:rPr>
        <w:t>进行资源化利用</w:t>
      </w:r>
      <w:r>
        <w:rPr>
          <w:color w:val="auto"/>
        </w:rPr>
        <w:t>，废物减容率高，可以解决传统医废处理技术的痛点，具有更好的社会效益和环保效益。</w:t>
      </w:r>
    </w:p>
    <w:p>
      <w:pPr>
        <w:pStyle w:val="32"/>
        <w:ind w:firstLine="480"/>
        <w:rPr>
          <w:color w:val="auto"/>
        </w:rPr>
      </w:pPr>
      <w:r>
        <w:rPr>
          <w:color w:val="auto"/>
        </w:rPr>
        <w:t>我国目前</w:t>
      </w:r>
      <w:r>
        <w:rPr>
          <w:rFonts w:hint="eastAsia"/>
          <w:color w:val="auto"/>
        </w:rPr>
        <w:t>医疗废物</w:t>
      </w:r>
      <w:r>
        <w:rPr>
          <w:color w:val="auto"/>
        </w:rPr>
        <w:t>处置设施的工艺路线以焚烧和</w:t>
      </w:r>
      <w:r>
        <w:rPr>
          <w:rFonts w:hint="eastAsia"/>
          <w:color w:val="auto"/>
        </w:rPr>
        <w:t>消毒</w:t>
      </w:r>
      <w:r>
        <w:rPr>
          <w:color w:val="auto"/>
        </w:rPr>
        <w:t>为主。</w:t>
      </w:r>
      <w:r>
        <w:rPr>
          <w:rFonts w:hint="eastAsia"/>
          <w:color w:val="auto"/>
        </w:rPr>
        <w:t>其中</w:t>
      </w:r>
      <w:r>
        <w:rPr>
          <w:color w:val="auto"/>
        </w:rPr>
        <w:t>高温蒸汽</w:t>
      </w:r>
      <w:r>
        <w:rPr>
          <w:rFonts w:hint="eastAsia"/>
          <w:color w:val="auto"/>
        </w:rPr>
        <w:t>消毒</w:t>
      </w:r>
      <w:r>
        <w:rPr>
          <w:color w:val="auto"/>
        </w:rPr>
        <w:t>、微波消毒、化学消毒</w:t>
      </w:r>
      <w:r>
        <w:rPr>
          <w:rFonts w:hint="eastAsia"/>
          <w:color w:val="auto"/>
        </w:rPr>
        <w:t>、高温干热消毒</w:t>
      </w:r>
      <w:r>
        <w:rPr>
          <w:color w:val="auto"/>
        </w:rPr>
        <w:t>适用于小规模项目，无法处理药物性、化学性废物</w:t>
      </w:r>
      <w:r>
        <w:rPr>
          <w:rFonts w:hint="eastAsia"/>
          <w:color w:val="auto"/>
        </w:rPr>
        <w:t>，不仅减量化程度低</w:t>
      </w:r>
      <w:r>
        <w:rPr>
          <w:color w:val="auto"/>
        </w:rPr>
        <w:t>，</w:t>
      </w:r>
      <w:r>
        <w:rPr>
          <w:rFonts w:hint="eastAsia"/>
          <w:color w:val="auto"/>
        </w:rPr>
        <w:t>而且需对残渣进行二次处置</w:t>
      </w:r>
      <w:r>
        <w:rPr>
          <w:color w:val="auto"/>
        </w:rPr>
        <w:t>。</w:t>
      </w:r>
      <w:r>
        <w:rPr>
          <w:rFonts w:hint="eastAsia"/>
          <w:color w:val="auto"/>
        </w:rPr>
        <w:t>灭菌后的医废残渣</w:t>
      </w:r>
      <w:r>
        <w:rPr>
          <w:color w:val="auto"/>
        </w:rPr>
        <w:t>若进入生活垃圾填埋场处置，</w:t>
      </w:r>
      <w:r>
        <w:rPr>
          <w:rFonts w:hint="eastAsia"/>
          <w:color w:val="auto"/>
        </w:rPr>
        <w:t>则浪费大量宝贵的土地资源</w:t>
      </w:r>
      <w:r>
        <w:rPr>
          <w:color w:val="auto"/>
        </w:rPr>
        <w:t>，与生活垃圾混烧则易导致焚烧设备腐蚀损坏，影响垃圾焚烧炉的稳定运行。而传统的热解气化炉</w:t>
      </w:r>
      <w:r>
        <w:rPr>
          <w:rFonts w:hint="eastAsia"/>
          <w:color w:val="auto"/>
        </w:rPr>
        <w:t>受</w:t>
      </w:r>
      <w:r>
        <w:rPr>
          <w:color w:val="auto"/>
        </w:rPr>
        <w:t>炉型缺陷及工况波动</w:t>
      </w:r>
      <w:r>
        <w:rPr>
          <w:rFonts w:hint="eastAsia"/>
          <w:color w:val="auto"/>
        </w:rPr>
        <w:t>影响</w:t>
      </w:r>
      <w:r>
        <w:rPr>
          <w:color w:val="auto"/>
        </w:rPr>
        <w:t>，排放超标严重；回转窑建设和运行成本高，高氯废物焚烧，二噁英</w:t>
      </w:r>
      <w:r>
        <w:rPr>
          <w:rFonts w:hint="eastAsia"/>
          <w:color w:val="auto"/>
        </w:rPr>
        <w:t>类物质</w:t>
      </w:r>
      <w:r>
        <w:rPr>
          <w:color w:val="auto"/>
        </w:rPr>
        <w:t>存在不达标。根据2014年《中国危险废物和医疗废物焚烧处置行业二噁英排放水平研究》报道数据，热解炉和回转窑达标率仅分别为50.0%和38.9%。</w:t>
      </w:r>
    </w:p>
    <w:p>
      <w:pPr>
        <w:pStyle w:val="32"/>
        <w:ind w:firstLine="480"/>
        <w:rPr>
          <w:color w:val="auto"/>
        </w:rPr>
      </w:pPr>
      <w:r>
        <w:rPr>
          <w:rFonts w:hint="eastAsia"/>
          <w:color w:val="auto"/>
        </w:rPr>
        <w:t>相比之下，</w:t>
      </w:r>
      <w:r>
        <w:rPr>
          <w:color w:val="auto"/>
        </w:rPr>
        <w:t>新兴的</w:t>
      </w:r>
      <w:r>
        <w:rPr>
          <w:rFonts w:hint="eastAsia"/>
          <w:color w:val="auto"/>
        </w:rPr>
        <w:t>医疗废物</w:t>
      </w:r>
      <w:r>
        <w:rPr>
          <w:color w:val="auto"/>
        </w:rPr>
        <w:t>等离子体</w:t>
      </w:r>
      <w:r>
        <w:rPr>
          <w:rFonts w:hint="eastAsia"/>
          <w:color w:val="auto"/>
        </w:rPr>
        <w:t>处置</w:t>
      </w:r>
      <w:r>
        <w:rPr>
          <w:color w:val="auto"/>
        </w:rPr>
        <w:t>技术能够提供高强度高温射流热源</w:t>
      </w:r>
      <w:r>
        <w:rPr>
          <w:rFonts w:hint="eastAsia"/>
          <w:color w:val="auto"/>
        </w:rPr>
        <w:t>，</w:t>
      </w:r>
      <w:r>
        <w:rPr>
          <w:color w:val="auto"/>
        </w:rPr>
        <w:t>能量密度高，彻底摧毁二噁英</w:t>
      </w:r>
      <w:r>
        <w:rPr>
          <w:rFonts w:hint="eastAsia"/>
          <w:color w:val="auto"/>
        </w:rPr>
        <w:t>类</w:t>
      </w:r>
      <w:r>
        <w:rPr>
          <w:color w:val="auto"/>
        </w:rPr>
        <w:t>等持久性有机污染物，</w:t>
      </w:r>
      <w:r>
        <w:rPr>
          <w:rFonts w:hint="eastAsia"/>
          <w:color w:val="auto"/>
        </w:rPr>
        <w:t>满足中国</w:t>
      </w:r>
      <w:r>
        <w:rPr>
          <w:color w:val="auto"/>
        </w:rPr>
        <w:t>GB39707</w:t>
      </w:r>
      <w:r>
        <w:rPr>
          <w:rFonts w:hint="eastAsia"/>
          <w:color w:val="auto"/>
        </w:rPr>
        <w:t>和欧盟</w:t>
      </w:r>
      <w:r>
        <w:rPr>
          <w:color w:val="auto"/>
        </w:rPr>
        <w:t>2010</w:t>
      </w:r>
      <w:r>
        <w:rPr>
          <w:rFonts w:hint="eastAsia"/>
          <w:color w:val="auto"/>
        </w:rPr>
        <w:t>中更严苛排放限值</w:t>
      </w:r>
      <w:r>
        <w:rPr>
          <w:color w:val="auto"/>
        </w:rPr>
        <w:t>；</w:t>
      </w:r>
      <w:r>
        <w:rPr>
          <w:rFonts w:hint="eastAsia"/>
          <w:color w:val="auto"/>
        </w:rPr>
        <w:t>采用等离子体熔融工艺还可将</w:t>
      </w:r>
      <w:r>
        <w:rPr>
          <w:color w:val="auto"/>
        </w:rPr>
        <w:t>无机</w:t>
      </w:r>
      <w:r>
        <w:rPr>
          <w:rFonts w:hint="eastAsia"/>
          <w:color w:val="auto"/>
        </w:rPr>
        <w:t>炉渣</w:t>
      </w:r>
      <w:r>
        <w:rPr>
          <w:color w:val="auto"/>
        </w:rPr>
        <w:t>熔融形成无害化玻璃体（熔融固化体），</w:t>
      </w:r>
      <w:r>
        <w:rPr>
          <w:rFonts w:hint="eastAsia"/>
          <w:color w:val="auto"/>
        </w:rPr>
        <w:t>进行资源化利用，</w:t>
      </w:r>
      <w:r>
        <w:rPr>
          <w:color w:val="auto"/>
        </w:rPr>
        <w:t>废物减容率高，可以解决传统医废处理技术的痛点，具有更好的社会效益和环保效益</w:t>
      </w:r>
      <w:r>
        <w:rPr>
          <w:rFonts w:hint="eastAsia"/>
          <w:color w:val="auto"/>
        </w:rPr>
        <w:t>，</w:t>
      </w:r>
      <w:r>
        <w:rPr>
          <w:color w:val="auto"/>
        </w:rPr>
        <w:t>是医疗废物处置行业提标改造的新兴技术首选。</w:t>
      </w:r>
    </w:p>
    <w:p>
      <w:pPr>
        <w:pStyle w:val="32"/>
        <w:ind w:firstLine="480"/>
        <w:rPr>
          <w:color w:val="auto"/>
        </w:rPr>
      </w:pPr>
      <w:r>
        <w:rPr>
          <w:rFonts w:hint="eastAsia"/>
          <w:color w:val="auto"/>
        </w:rPr>
        <w:t>早在</w:t>
      </w:r>
      <w:r>
        <w:rPr>
          <w:color w:val="auto"/>
        </w:rPr>
        <w:t>2012年等离子体技术</w:t>
      </w:r>
      <w:r>
        <w:rPr>
          <w:rFonts w:hint="eastAsia"/>
          <w:color w:val="auto"/>
        </w:rPr>
        <w:t>即</w:t>
      </w:r>
      <w:r>
        <w:rPr>
          <w:color w:val="auto"/>
        </w:rPr>
        <w:t>入选《医疗废物处理处置污染防治最佳可行技术指南（试行）》</w:t>
      </w:r>
      <w:r>
        <w:rPr>
          <w:rFonts w:hint="eastAsia"/>
          <w:color w:val="auto"/>
        </w:rPr>
        <w:t>（</w:t>
      </w:r>
      <w:r>
        <w:rPr>
          <w:color w:val="auto"/>
        </w:rPr>
        <w:t>HJ-BAT-8</w:t>
      </w:r>
      <w:r>
        <w:rPr>
          <w:rFonts w:hint="eastAsia"/>
          <w:color w:val="auto"/>
        </w:rPr>
        <w:t>）</w:t>
      </w:r>
      <w:r>
        <w:rPr>
          <w:color w:val="auto"/>
        </w:rPr>
        <w:t>，指明该技术“具有减容率高、适用范围广、处置效率高、有害物质产生少等特点”，随着技术的发展该技术也有了突破性的进展。2014年医疗垃圾等离子无害化处理装备被列入中华人民共和国工业和信息化部《国家鼓励发展的重大环保技术装备目录（2014年版开发类）》（工信部联节[2014]573号），经过近年来技术的不断更新发展，已具备应用条件。然而目前我国尚未有针对等离子体技术处置医疗废物的相关标准和规范，行业的发展规范化体系尚未形成。</w:t>
      </w:r>
    </w:p>
    <w:p>
      <w:pPr>
        <w:pStyle w:val="32"/>
        <w:ind w:firstLine="480"/>
        <w:rPr>
          <w:color w:val="auto"/>
        </w:rPr>
      </w:pPr>
      <w:r>
        <w:rPr>
          <w:color w:val="auto"/>
        </w:rPr>
        <w:t>为贯彻实施《中华人民共和国固体废物污染环境防治法》（2020修订版）和《医疗废物处理处置污染控制标准》（GB 39707）等法律法规及标准，做好《医疗机构废弃物综合治理工作方案》部署的相关措施，需要相应技术标准对</w:t>
      </w:r>
      <w:r>
        <w:rPr>
          <w:rFonts w:hint="eastAsia"/>
          <w:color w:val="auto"/>
          <w:lang w:eastAsia="zh-CN"/>
        </w:rPr>
        <w:t>医疗废物等离子体集中处理处置工程</w:t>
      </w:r>
      <w:r>
        <w:rPr>
          <w:color w:val="auto"/>
        </w:rPr>
        <w:t>做出规定，确保医疗废物</w:t>
      </w:r>
      <w:r>
        <w:rPr>
          <w:rFonts w:hint="eastAsia"/>
          <w:color w:val="auto"/>
        </w:rPr>
        <w:t>集中</w:t>
      </w:r>
      <w:r>
        <w:rPr>
          <w:color w:val="auto"/>
        </w:rPr>
        <w:t>处置设施的安全稳定运行。</w:t>
      </w:r>
    </w:p>
    <w:p>
      <w:pPr>
        <w:pStyle w:val="32"/>
        <w:ind w:firstLine="480"/>
        <w:rPr>
          <w:rFonts w:hint="default"/>
          <w:color w:val="auto"/>
          <w:highlight w:val="none"/>
          <w:lang w:val="en-US" w:eastAsia="zh-CN"/>
        </w:rPr>
      </w:pPr>
      <w:r>
        <w:rPr>
          <w:rFonts w:hint="eastAsia"/>
          <w:color w:val="auto"/>
          <w:highlight w:val="none"/>
        </w:rPr>
        <w:t>为促进等离子体医疗废物</w:t>
      </w:r>
      <w:r>
        <w:rPr>
          <w:rFonts w:hint="eastAsia"/>
          <w:color w:val="auto"/>
          <w:highlight w:val="none"/>
          <w:lang w:val="en-US" w:eastAsia="zh-CN"/>
        </w:rPr>
        <w:t>处理</w:t>
      </w:r>
      <w:r>
        <w:rPr>
          <w:rFonts w:hint="eastAsia"/>
          <w:color w:val="auto"/>
          <w:highlight w:val="none"/>
        </w:rPr>
        <w:t>处置技术及工程项目的推广和应用，弥补等离子体处置技术专项标准的空白</w:t>
      </w:r>
      <w:r>
        <w:rPr>
          <w:rFonts w:hint="eastAsia"/>
          <w:color w:val="auto"/>
          <w:highlight w:val="none"/>
          <w:lang w:eastAsia="zh-CN"/>
        </w:rPr>
        <w:t>，</w:t>
      </w:r>
      <w:r>
        <w:rPr>
          <w:rFonts w:hint="eastAsia"/>
          <w:color w:val="auto"/>
          <w:highlight w:val="none"/>
          <w:lang w:val="en-US" w:eastAsia="zh-CN"/>
        </w:rPr>
        <w:t>由江苏天楹等离子体科技有限公司主编，江苏省固体废物监督管理中心、生态环境部固体废物与化学品管理技术中心、扬州市生态环境局以及南通市海安生态环境局参编的地方标准《医疗废物等离子体集中处理处置工程技术规范》提出申报。2022年6月29日江苏省市场监督管理局发布的《省市场监管局关于下达2022年度江苏省地方标准项目计划的通知》（苏市监标[2022]192号）文件中，明确“下达2022年度348项地方标准制（修）订项目”，本标准位列第334项。</w:t>
      </w:r>
    </w:p>
    <w:p>
      <w:pPr>
        <w:pStyle w:val="3"/>
        <w:rPr>
          <w:rFonts w:cs="Times New Roman"/>
          <w:color w:val="auto"/>
          <w:highlight w:val="none"/>
        </w:rPr>
      </w:pPr>
      <w:bookmarkStart w:id="10" w:name="_Toc22649"/>
      <w:r>
        <w:rPr>
          <w:rFonts w:hint="eastAsia" w:cs="Times New Roman"/>
          <w:color w:val="auto"/>
          <w:highlight w:val="none"/>
          <w:lang w:val="en-US" w:eastAsia="zh-CN"/>
        </w:rPr>
        <w:t>编制</w:t>
      </w:r>
      <w:r>
        <w:rPr>
          <w:rFonts w:cs="Times New Roman"/>
          <w:color w:val="auto"/>
          <w:highlight w:val="none"/>
        </w:rPr>
        <w:t>过程</w:t>
      </w:r>
      <w:bookmarkEnd w:id="10"/>
    </w:p>
    <w:p>
      <w:pPr>
        <w:pStyle w:val="32"/>
        <w:ind w:firstLine="480"/>
        <w:rPr>
          <w:color w:val="auto"/>
          <w:lang w:val="zh-CN"/>
        </w:rPr>
      </w:pPr>
      <w:r>
        <w:rPr>
          <w:rFonts w:hint="eastAsia"/>
          <w:color w:val="auto"/>
          <w:lang w:val="zh-CN"/>
        </w:rPr>
        <w:t>标准制定计划下达后，江苏天楹等离子体科技有限公司于</w:t>
      </w:r>
      <w:r>
        <w:rPr>
          <w:color w:val="auto"/>
          <w:lang w:val="zh-CN"/>
        </w:rPr>
        <w:t>202</w:t>
      </w:r>
      <w:r>
        <w:rPr>
          <w:rFonts w:hint="eastAsia"/>
          <w:color w:val="auto"/>
          <w:lang w:val="zh-CN"/>
        </w:rPr>
        <w:t>2年5月成立标准制定小组，围绕标准制定开展了大量工作，主要工作如下</w:t>
      </w:r>
      <w:r>
        <w:rPr>
          <w:color w:val="auto"/>
          <w:lang w:val="zh-CN"/>
        </w:rPr>
        <w:t>：</w:t>
      </w:r>
    </w:p>
    <w:p>
      <w:pPr>
        <w:pStyle w:val="32"/>
        <w:ind w:firstLine="480"/>
        <w:rPr>
          <w:color w:val="auto"/>
          <w:lang w:val="zh-CN"/>
        </w:rPr>
      </w:pPr>
      <w:r>
        <w:rPr>
          <w:color w:val="auto"/>
          <w:lang w:val="zh-CN"/>
        </w:rPr>
        <w:t>1、国内外</w:t>
      </w:r>
      <w:r>
        <w:rPr>
          <w:rFonts w:hint="eastAsia"/>
          <w:color w:val="auto"/>
          <w:lang w:val="zh-CN"/>
        </w:rPr>
        <w:t>医疗废物处置与管理情况</w:t>
      </w:r>
      <w:r>
        <w:rPr>
          <w:color w:val="auto"/>
          <w:lang w:val="zh-CN"/>
        </w:rPr>
        <w:t>调研。</w:t>
      </w:r>
      <w:r>
        <w:rPr>
          <w:rFonts w:hint="eastAsia"/>
          <w:color w:val="auto"/>
          <w:lang w:val="zh-CN"/>
        </w:rPr>
        <w:t>对我国、国际社会以及美国、日本等主要国家的医疗废物处置与管理情况进行调研评估，包括医疗废物处理处置方法、管理体系、相关政策法规与标准规范，污染物排放控制要求等，为标准制定奠定应用基础。</w:t>
      </w:r>
    </w:p>
    <w:p>
      <w:pPr>
        <w:pStyle w:val="32"/>
        <w:ind w:firstLine="480"/>
        <w:rPr>
          <w:color w:val="auto"/>
          <w:lang w:val="zh-CN"/>
        </w:rPr>
      </w:pPr>
      <w:r>
        <w:rPr>
          <w:color w:val="auto"/>
          <w:lang w:val="zh-CN"/>
        </w:rPr>
        <w:t>2</w:t>
      </w:r>
      <w:r>
        <w:rPr>
          <w:rFonts w:hint="eastAsia"/>
          <w:color w:val="auto"/>
          <w:lang w:val="zh-CN"/>
        </w:rPr>
        <w:t>、对国内医疗废物等离子体处置单位的设备设施和运行管理情况进行调研与分析，从医疗废物收集、运输、贮存、处置的全过程管理角度进行评估，重点调研处置设施的工况性能以及污染物排放性能状况。</w:t>
      </w:r>
    </w:p>
    <w:p>
      <w:pPr>
        <w:pStyle w:val="32"/>
        <w:ind w:firstLine="480"/>
        <w:rPr>
          <w:color w:val="auto"/>
          <w:lang w:val="zh-CN"/>
        </w:rPr>
      </w:pPr>
      <w:r>
        <w:rPr>
          <w:color w:val="auto"/>
          <w:lang w:val="zh-CN"/>
        </w:rPr>
        <w:t>3、结合现有相关国家危险废物</w:t>
      </w:r>
      <w:r>
        <w:rPr>
          <w:rFonts w:hint="eastAsia"/>
          <w:color w:val="auto"/>
          <w:lang w:val="zh-CN"/>
        </w:rPr>
        <w:t>、医疗废物处理</w:t>
      </w:r>
      <w:r>
        <w:rPr>
          <w:color w:val="auto"/>
          <w:lang w:val="zh-CN"/>
        </w:rPr>
        <w:t>处置标准及技术规范，向国家及地方有关部门及单位征询制订医疗废物等离子体处置技术规范的意见与建议，确定该拟定标准详细内容。</w:t>
      </w:r>
    </w:p>
    <w:p>
      <w:pPr>
        <w:pStyle w:val="32"/>
        <w:ind w:firstLine="480"/>
        <w:rPr>
          <w:color w:val="auto"/>
          <w:lang w:val="zh-CN"/>
        </w:rPr>
      </w:pPr>
      <w:r>
        <w:rPr>
          <w:color w:val="auto"/>
          <w:lang w:val="zh-CN"/>
        </w:rPr>
        <w:t>4、利用本单位现有医疗废物等离子体处置设施及分析测试中心，对拟列入制订标准的技术参数进行理论验证及实际监测分析，确保本标准制订后的可实施性及可操作性。</w:t>
      </w:r>
    </w:p>
    <w:p>
      <w:pPr>
        <w:pStyle w:val="32"/>
        <w:ind w:firstLine="480"/>
        <w:rPr>
          <w:color w:val="auto"/>
          <w:lang w:val="zh-CN"/>
        </w:rPr>
      </w:pPr>
      <w:r>
        <w:rPr>
          <w:color w:val="auto"/>
          <w:lang w:val="zh-CN"/>
        </w:rPr>
        <w:t>5、向主要设备供应商、工程建设和设施运营单位、地方生态环境部门、科研院校等单位机构征询相关章节意见。</w:t>
      </w:r>
    </w:p>
    <w:p>
      <w:pPr>
        <w:pStyle w:val="32"/>
        <w:ind w:firstLine="480"/>
        <w:rPr>
          <w:color w:val="auto"/>
          <w:lang w:val="zh-CN"/>
        </w:rPr>
      </w:pPr>
      <w:r>
        <w:rPr>
          <w:color w:val="auto"/>
          <w:lang w:val="zh-CN"/>
        </w:rPr>
        <w:t>6、针对医疗废物等离子体处置技术规范文本草稿，邀请国内行业专家及同行业开展多轮讨论及技术审查。</w:t>
      </w:r>
    </w:p>
    <w:p>
      <w:pPr>
        <w:pStyle w:val="32"/>
        <w:ind w:firstLine="480"/>
        <w:rPr>
          <w:rFonts w:hint="eastAsia"/>
          <w:color w:val="auto"/>
          <w:highlight w:val="none"/>
          <w:lang w:val="en-US" w:eastAsia="zh-CN"/>
        </w:rPr>
      </w:pPr>
      <w:r>
        <w:rPr>
          <w:rFonts w:hint="eastAsia"/>
          <w:color w:val="auto"/>
          <w:highlight w:val="none"/>
          <w:lang w:val="en-US" w:eastAsia="zh-CN"/>
        </w:rPr>
        <w:t>2022年底经标准编制组内部达成一致意见，形成标准征求意见稿文本及编制说明。</w:t>
      </w:r>
    </w:p>
    <w:p>
      <w:pPr>
        <w:pStyle w:val="32"/>
        <w:ind w:firstLine="480"/>
        <w:rPr>
          <w:rFonts w:hint="eastAsia"/>
          <w:color w:val="auto"/>
          <w:highlight w:val="none"/>
          <w:lang w:val="en-US" w:eastAsia="zh-CN"/>
        </w:rPr>
      </w:pPr>
      <w:r>
        <w:rPr>
          <w:rFonts w:hint="eastAsia"/>
          <w:color w:val="auto"/>
          <w:highlight w:val="none"/>
          <w:lang w:val="en-US" w:eastAsia="zh-CN"/>
        </w:rPr>
        <w:t>2023年1-2月，省固管中心专家组先后对标准草案进行两轮审查，编制组根据审查意见完成修订工作并达成一致形成标准征求意见稿。</w:t>
      </w:r>
    </w:p>
    <w:p>
      <w:pPr>
        <w:pStyle w:val="32"/>
        <w:ind w:firstLine="480"/>
        <w:rPr>
          <w:rFonts w:hint="eastAsia"/>
          <w:color w:val="auto"/>
          <w:highlight w:val="none"/>
          <w:lang w:eastAsia="zh-CN"/>
        </w:rPr>
      </w:pPr>
      <w:r>
        <w:rPr>
          <w:rFonts w:hint="eastAsia"/>
          <w:color w:val="auto"/>
          <w:highlight w:val="none"/>
          <w:lang w:val="en-US" w:eastAsia="zh-CN"/>
        </w:rPr>
        <w:t>2023年2月17日至2023年3月20日面向社会征集标准意见，</w:t>
      </w:r>
      <w:r>
        <w:rPr>
          <w:rFonts w:hint="eastAsia"/>
          <w:color w:val="auto"/>
          <w:highlight w:val="none"/>
        </w:rPr>
        <w:t>此次征求意见共外发13家单位，收到回函单位13家，</w:t>
      </w:r>
      <w:r>
        <w:rPr>
          <w:rFonts w:hint="eastAsia"/>
          <w:color w:val="auto"/>
          <w:highlight w:val="none"/>
          <w:lang w:val="en-US" w:eastAsia="zh-CN"/>
        </w:rPr>
        <w:t>共计收到意见104条，</w:t>
      </w:r>
      <w:r>
        <w:rPr>
          <w:rFonts w:hint="eastAsia"/>
          <w:color w:val="auto"/>
          <w:highlight w:val="none"/>
        </w:rPr>
        <w:t>全部完成回函单位的意见回复</w:t>
      </w:r>
      <w:r>
        <w:rPr>
          <w:rFonts w:hint="eastAsia"/>
          <w:color w:val="auto"/>
          <w:highlight w:val="none"/>
          <w:lang w:val="en-US" w:eastAsia="zh-CN"/>
        </w:rPr>
        <w:t>及标准文本修订</w:t>
      </w:r>
      <w:r>
        <w:rPr>
          <w:rFonts w:hint="eastAsia"/>
          <w:color w:val="auto"/>
          <w:highlight w:val="none"/>
          <w:lang w:eastAsia="zh-CN"/>
        </w:rPr>
        <w:t>。</w:t>
      </w:r>
    </w:p>
    <w:p>
      <w:pPr>
        <w:pStyle w:val="32"/>
        <w:ind w:firstLine="480"/>
        <w:rPr>
          <w:rFonts w:hint="default"/>
          <w:color w:val="auto"/>
          <w:highlight w:val="none"/>
          <w:lang w:val="en-US" w:eastAsia="zh-CN"/>
        </w:rPr>
      </w:pPr>
      <w:r>
        <w:rPr>
          <w:rFonts w:hint="eastAsia"/>
          <w:color w:val="auto"/>
          <w:highlight w:val="none"/>
          <w:lang w:val="en-US" w:eastAsia="zh-CN"/>
        </w:rPr>
        <w:t>2023年10月征求江苏省固体废物与化学品管理中心意见，收到28条意见，全部完成回复及标准文本修订。</w:t>
      </w:r>
    </w:p>
    <w:p>
      <w:pPr>
        <w:pStyle w:val="32"/>
        <w:ind w:firstLine="480"/>
        <w:rPr>
          <w:rFonts w:hint="default"/>
          <w:color w:val="auto"/>
          <w:highlight w:val="none"/>
          <w:lang w:val="en-US" w:eastAsia="zh-CN"/>
        </w:rPr>
      </w:pPr>
      <w:r>
        <w:rPr>
          <w:rFonts w:hint="eastAsia"/>
          <w:color w:val="auto"/>
          <w:highlight w:val="none"/>
          <w:lang w:val="en-US" w:eastAsia="zh-CN"/>
        </w:rPr>
        <w:t>2023年12月8日，江苏省市场监督管理局标准化管理处组织召开了江苏省地方标准《医疗废物等离子体集中处理处置工程技术规范》审查会议，会上编制组对文本编制情况进行介绍，并积极听取专家意见，审查组专家一致同意该标准通过审查，会后编制组针对专家意见以及主管部门意见，补充完善标准文本及编制说明。</w:t>
      </w:r>
    </w:p>
    <w:p>
      <w:pPr>
        <w:pStyle w:val="2"/>
        <w:rPr>
          <w:rFonts w:ascii="Times New Roman" w:hAnsi="Times New Roman" w:cs="Times New Roman"/>
          <w:color w:val="auto"/>
        </w:rPr>
      </w:pPr>
      <w:bookmarkStart w:id="11" w:name="_Toc31997"/>
      <w:r>
        <w:rPr>
          <w:rFonts w:ascii="Times New Roman" w:hAnsi="Times New Roman" w:cs="Times New Roman"/>
          <w:color w:val="auto"/>
        </w:rPr>
        <w:t>医疗废物处置现状</w:t>
      </w:r>
      <w:bookmarkEnd w:id="11"/>
    </w:p>
    <w:p>
      <w:pPr>
        <w:pStyle w:val="3"/>
        <w:rPr>
          <w:rFonts w:cs="Times New Roman"/>
          <w:color w:val="auto"/>
        </w:rPr>
      </w:pPr>
      <w:bookmarkStart w:id="12" w:name="_Toc25452"/>
      <w:r>
        <w:rPr>
          <w:rFonts w:cs="Times New Roman"/>
          <w:color w:val="auto"/>
        </w:rPr>
        <w:t>医疗废物分类及特性</w:t>
      </w:r>
      <w:bookmarkEnd w:id="12"/>
    </w:p>
    <w:p>
      <w:pPr>
        <w:pStyle w:val="4"/>
        <w:rPr>
          <w:rFonts w:cs="Times New Roman"/>
          <w:color w:val="auto"/>
        </w:rPr>
      </w:pPr>
      <w:bookmarkStart w:id="13" w:name="_Toc9244"/>
      <w:r>
        <w:rPr>
          <w:rFonts w:cs="Times New Roman"/>
          <w:color w:val="auto"/>
        </w:rPr>
        <w:t>医疗废物</w:t>
      </w:r>
      <w:r>
        <w:rPr>
          <w:rFonts w:hint="eastAsia" w:cs="Times New Roman"/>
          <w:color w:val="auto"/>
        </w:rPr>
        <w:t>定义与</w:t>
      </w:r>
      <w:r>
        <w:rPr>
          <w:rFonts w:cs="Times New Roman"/>
          <w:color w:val="auto"/>
        </w:rPr>
        <w:t>分类</w:t>
      </w:r>
      <w:bookmarkEnd w:id="13"/>
    </w:p>
    <w:p>
      <w:pPr>
        <w:pStyle w:val="32"/>
        <w:ind w:firstLine="480"/>
        <w:rPr>
          <w:color w:val="auto"/>
        </w:rPr>
      </w:pPr>
      <w:r>
        <w:rPr>
          <w:color w:val="auto"/>
        </w:rPr>
        <w:t>根据《医疗废物管理条例》，医疗废物是指医疗卫生机构在医疗、预防、保健以及其他相关活动中产生的具有直接或者间接感染性、毒性以及其他危害性的废物。</w:t>
      </w:r>
    </w:p>
    <w:p>
      <w:pPr>
        <w:pStyle w:val="32"/>
        <w:ind w:firstLine="480"/>
        <w:rPr>
          <w:color w:val="auto"/>
        </w:rPr>
      </w:pPr>
      <w:r>
        <w:rPr>
          <w:color w:val="auto"/>
        </w:rPr>
        <w:t>国家</w:t>
      </w:r>
      <w:r>
        <w:rPr>
          <w:rFonts w:hint="eastAsia"/>
          <w:color w:val="auto"/>
        </w:rPr>
        <w:t>卫生健康委</w:t>
      </w:r>
      <w:r>
        <w:rPr>
          <w:color w:val="auto"/>
        </w:rPr>
        <w:t>和国家</w:t>
      </w:r>
      <w:r>
        <w:rPr>
          <w:rFonts w:hint="eastAsia"/>
          <w:color w:val="auto"/>
        </w:rPr>
        <w:t>生态环境部最新印发</w:t>
      </w:r>
      <w:r>
        <w:rPr>
          <w:color w:val="auto"/>
        </w:rPr>
        <w:t>的《医疗废物分类目录》（</w:t>
      </w:r>
      <w:r>
        <w:rPr>
          <w:rFonts w:hint="eastAsia"/>
          <w:color w:val="auto"/>
        </w:rPr>
        <w:t>2021年版、国卫</w:t>
      </w:r>
      <w:r>
        <w:rPr>
          <w:color w:val="auto"/>
        </w:rPr>
        <w:t>医</w:t>
      </w:r>
      <w:r>
        <w:rPr>
          <w:rFonts w:hint="eastAsia"/>
          <w:color w:val="auto"/>
        </w:rPr>
        <w:t>函</w:t>
      </w:r>
      <w:r>
        <w:rPr>
          <w:color w:val="auto"/>
        </w:rPr>
        <w:t>[20</w:t>
      </w:r>
      <w:r>
        <w:rPr>
          <w:rFonts w:hint="eastAsia"/>
          <w:color w:val="auto"/>
        </w:rPr>
        <w:t>21</w:t>
      </w:r>
      <w:r>
        <w:rPr>
          <w:color w:val="auto"/>
        </w:rPr>
        <w:t>]2</w:t>
      </w:r>
      <w:r>
        <w:rPr>
          <w:rFonts w:hint="eastAsia"/>
          <w:color w:val="auto"/>
        </w:rPr>
        <w:t>38</w:t>
      </w:r>
      <w:r>
        <w:rPr>
          <w:color w:val="auto"/>
        </w:rPr>
        <w:t>号），对医疗废物的分类及常见组分</w:t>
      </w:r>
      <w:r>
        <w:rPr>
          <w:rFonts w:hint="eastAsia"/>
          <w:color w:val="auto"/>
        </w:rPr>
        <w:t>划分如下</w:t>
      </w:r>
      <w:r>
        <w:rPr>
          <w:color w:val="auto"/>
        </w:rPr>
        <w:t>：</w:t>
      </w:r>
    </w:p>
    <w:p>
      <w:pPr>
        <w:pStyle w:val="23"/>
        <w:numPr>
          <w:ilvl w:val="0"/>
          <w:numId w:val="3"/>
        </w:numPr>
        <w:spacing w:line="360" w:lineRule="auto"/>
        <w:ind w:firstLineChars="0"/>
        <w:jc w:val="center"/>
        <w:rPr>
          <w:rFonts w:ascii="Times New Roman" w:hAnsi="Times New Roman" w:eastAsia="宋体" w:cs="Times New Roman"/>
          <w:b/>
          <w:color w:val="auto"/>
          <w:szCs w:val="21"/>
        </w:rPr>
      </w:pPr>
      <w:r>
        <w:rPr>
          <w:rFonts w:ascii="Times New Roman" w:hAnsi="Times New Roman" w:eastAsia="宋体" w:cs="Times New Roman"/>
          <w:b/>
          <w:color w:val="auto"/>
          <w:szCs w:val="21"/>
        </w:rPr>
        <w:t>我国医疗废物类型的划分</w:t>
      </w:r>
    </w:p>
    <w:tbl>
      <w:tblPr>
        <w:tblStyle w:val="28"/>
        <w:tblW w:w="89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8"/>
        <w:gridCol w:w="1417"/>
        <w:gridCol w:w="3119"/>
        <w:gridCol w:w="34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0" w:type="dxa"/>
            <w:tcBorders>
              <w:top w:val="single" w:color="auto" w:sz="4" w:space="0"/>
              <w:left w:val="single" w:color="auto" w:sz="4" w:space="0"/>
              <w:bottom w:val="single" w:color="auto" w:sz="4" w:space="0"/>
              <w:right w:val="nil"/>
              <w:insideV w:val="nil"/>
            </w:tcBorders>
            <w:shd w:val="clear" w:color="auto" w:fill="auto"/>
            <w:vAlign w:val="center"/>
          </w:tcPr>
          <w:p>
            <w:pPr>
              <w:widowControl/>
              <w:adjustRightInd w:val="0"/>
              <w:snapToGrid w:val="0"/>
              <w:jc w:val="center"/>
              <w:rPr>
                <w:rFonts w:ascii="Times New Roman" w:hAnsi="Times New Roman" w:eastAsia="宋体" w:cs="Times New Roman"/>
                <w:b/>
                <w:bCs w:val="0"/>
                <w:color w:val="auto"/>
                <w:kern w:val="0"/>
                <w:sz w:val="21"/>
                <w:szCs w:val="21"/>
              </w:rPr>
            </w:pPr>
            <w:r>
              <w:rPr>
                <w:rFonts w:ascii="Times New Roman" w:hAnsi="Times New Roman" w:eastAsia="宋体" w:cs="Times New Roman"/>
                <w:b/>
                <w:bCs/>
                <w:color w:val="auto"/>
                <w:kern w:val="0"/>
                <w:sz w:val="21"/>
                <w:szCs w:val="21"/>
              </w:rPr>
              <w:t>类别</w:t>
            </w:r>
          </w:p>
        </w:tc>
        <w:tc>
          <w:tcPr>
            <w:tcW w:w="0" w:type="dxa"/>
            <w:tcBorders>
              <w:top w:val="single" w:color="auto" w:sz="4" w:space="0"/>
              <w:left w:val="single" w:color="auto" w:sz="4" w:space="0"/>
              <w:bottom w:val="single" w:color="auto" w:sz="4" w:space="0"/>
              <w:right w:val="nil"/>
              <w:insideV w:val="nil"/>
            </w:tcBorders>
            <w:shd w:val="clear" w:color="auto" w:fill="auto"/>
            <w:vAlign w:val="center"/>
          </w:tcPr>
          <w:p>
            <w:pPr>
              <w:widowControl/>
              <w:adjustRightInd w:val="0"/>
              <w:snapToGrid w:val="0"/>
              <w:jc w:val="center"/>
              <w:rPr>
                <w:rFonts w:ascii="Times New Roman" w:hAnsi="Times New Roman" w:eastAsia="宋体" w:cs="Times New Roman"/>
                <w:b/>
                <w:bCs w:val="0"/>
                <w:color w:val="auto"/>
                <w:kern w:val="0"/>
                <w:sz w:val="21"/>
                <w:szCs w:val="21"/>
              </w:rPr>
            </w:pPr>
            <w:r>
              <w:rPr>
                <w:rFonts w:ascii="Times New Roman" w:hAnsi="Times New Roman" w:eastAsia="宋体" w:cs="Times New Roman"/>
                <w:b/>
                <w:bCs/>
                <w:color w:val="auto"/>
                <w:kern w:val="0"/>
                <w:sz w:val="21"/>
                <w:szCs w:val="21"/>
              </w:rPr>
              <w:t>特征</w:t>
            </w:r>
          </w:p>
        </w:tc>
        <w:tc>
          <w:tcPr>
            <w:tcW w:w="3119" w:type="dxa"/>
            <w:tcBorders>
              <w:top w:val="single" w:color="auto" w:sz="4" w:space="0"/>
              <w:left w:val="single" w:color="auto" w:sz="4" w:space="0"/>
              <w:bottom w:val="single" w:color="auto" w:sz="4" w:space="0"/>
              <w:right w:val="nil"/>
              <w:insideV w:val="nil"/>
            </w:tcBorders>
            <w:shd w:val="clear" w:color="auto" w:fill="auto"/>
            <w:vAlign w:val="center"/>
          </w:tcPr>
          <w:p>
            <w:pPr>
              <w:widowControl/>
              <w:adjustRightInd w:val="0"/>
              <w:snapToGrid w:val="0"/>
              <w:jc w:val="center"/>
              <w:rPr>
                <w:rFonts w:ascii="Times New Roman" w:hAnsi="Times New Roman" w:eastAsia="宋体" w:cs="Times New Roman"/>
                <w:b/>
                <w:bCs w:val="0"/>
                <w:color w:val="auto"/>
                <w:kern w:val="0"/>
                <w:sz w:val="21"/>
                <w:szCs w:val="21"/>
              </w:rPr>
            </w:pPr>
            <w:r>
              <w:rPr>
                <w:rFonts w:ascii="Times New Roman" w:hAnsi="Times New Roman" w:eastAsia="宋体" w:cs="Times New Roman"/>
                <w:b/>
                <w:bCs/>
                <w:color w:val="auto"/>
                <w:kern w:val="0"/>
                <w:sz w:val="21"/>
                <w:szCs w:val="21"/>
              </w:rPr>
              <w:t>常见组分或者废物名称</w:t>
            </w:r>
          </w:p>
        </w:tc>
        <w:tc>
          <w:tcPr>
            <w:tcW w:w="3402" w:type="dxa"/>
            <w:tcBorders>
              <w:top w:val="single" w:color="auto" w:sz="4" w:space="0"/>
              <w:left w:val="single" w:color="auto" w:sz="4" w:space="0"/>
              <w:bottom w:val="single" w:color="auto" w:sz="4" w:space="0"/>
              <w:right w:val="single" w:color="auto" w:sz="4" w:space="0"/>
              <w:insideV w:val="nil"/>
            </w:tcBorders>
            <w:shd w:val="clear" w:color="auto" w:fill="auto"/>
          </w:tcPr>
          <w:p>
            <w:pPr>
              <w:widowControl/>
              <w:adjustRightInd w:val="0"/>
              <w:snapToGrid w:val="0"/>
              <w:jc w:val="center"/>
              <w:rPr>
                <w:rFonts w:ascii="Times New Roman" w:hAnsi="Times New Roman" w:eastAsia="宋体" w:cs="Times New Roman"/>
                <w:b/>
                <w:bCs/>
                <w:color w:val="auto"/>
                <w:kern w:val="0"/>
                <w:sz w:val="21"/>
                <w:szCs w:val="21"/>
              </w:rPr>
            </w:pPr>
            <w:r>
              <w:rPr>
                <w:rFonts w:hint="eastAsia" w:ascii="Times New Roman" w:hAnsi="Times New Roman" w:eastAsia="宋体" w:cs="Times New Roman"/>
                <w:b/>
                <w:bCs/>
                <w:color w:val="auto"/>
                <w:kern w:val="0"/>
                <w:sz w:val="21"/>
                <w:szCs w:val="21"/>
              </w:rPr>
              <w:t>收集方式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3" w:hRule="atLeast"/>
          <w:jc w:val="center"/>
        </w:trPr>
        <w:tc>
          <w:tcPr>
            <w:tcW w:w="0"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center"/>
              <w:rPr>
                <w:rFonts w:ascii="Times New Roman" w:hAnsi="Times New Roman" w:eastAsia="宋体" w:cs="Times New Roman"/>
                <w:b/>
                <w:bCs w:val="0"/>
                <w:color w:val="auto"/>
                <w:kern w:val="0"/>
                <w:sz w:val="21"/>
                <w:szCs w:val="21"/>
              </w:rPr>
            </w:pPr>
            <w:r>
              <w:rPr>
                <w:rFonts w:ascii="Times New Roman" w:hAnsi="Times New Roman" w:eastAsia="宋体" w:cs="Times New Roman"/>
                <w:b/>
                <w:bCs/>
                <w:color w:val="auto"/>
                <w:kern w:val="0"/>
                <w:sz w:val="21"/>
                <w:szCs w:val="21"/>
              </w:rPr>
              <w:t>感染性废物</w:t>
            </w:r>
          </w:p>
        </w:tc>
        <w:tc>
          <w:tcPr>
            <w:tcW w:w="0"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left"/>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携带病原微生物具有引发感染性疾病传播危险的医疗废物。</w:t>
            </w:r>
          </w:p>
        </w:tc>
        <w:tc>
          <w:tcPr>
            <w:tcW w:w="0"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left"/>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1、被</w:t>
            </w:r>
            <w:r>
              <w:rPr>
                <w:rFonts w:hint="eastAsia" w:ascii="Times New Roman" w:hAnsi="Times New Roman" w:eastAsia="宋体" w:cs="Times New Roman"/>
                <w:color w:val="auto"/>
                <w:kern w:val="0"/>
                <w:sz w:val="21"/>
                <w:szCs w:val="21"/>
              </w:rPr>
              <w:t>患者</w:t>
            </w:r>
            <w:r>
              <w:rPr>
                <w:rFonts w:ascii="Times New Roman" w:hAnsi="Times New Roman" w:eastAsia="宋体" w:cs="Times New Roman"/>
                <w:color w:val="auto"/>
                <w:kern w:val="0"/>
                <w:sz w:val="21"/>
                <w:szCs w:val="21"/>
              </w:rPr>
              <w:t>血液、体液、排泄物</w:t>
            </w:r>
            <w:r>
              <w:rPr>
                <w:rFonts w:hint="eastAsia" w:ascii="Times New Roman" w:hAnsi="Times New Roman" w:eastAsia="宋体" w:cs="Times New Roman"/>
                <w:color w:val="auto"/>
                <w:kern w:val="0"/>
                <w:sz w:val="21"/>
                <w:szCs w:val="21"/>
              </w:rPr>
              <w:t>等</w:t>
            </w:r>
            <w:r>
              <w:rPr>
                <w:rFonts w:ascii="Times New Roman" w:hAnsi="Times New Roman" w:eastAsia="宋体" w:cs="Times New Roman"/>
                <w:color w:val="auto"/>
                <w:kern w:val="0"/>
                <w:sz w:val="21"/>
                <w:szCs w:val="21"/>
              </w:rPr>
              <w:t>污染的</w:t>
            </w:r>
            <w:r>
              <w:rPr>
                <w:rFonts w:hint="eastAsia" w:ascii="Times New Roman" w:hAnsi="Times New Roman" w:eastAsia="宋体" w:cs="Times New Roman"/>
                <w:color w:val="auto"/>
                <w:kern w:val="0"/>
                <w:sz w:val="21"/>
                <w:szCs w:val="21"/>
              </w:rPr>
              <w:t>除锐器以外的废物</w:t>
            </w:r>
            <w:r>
              <w:rPr>
                <w:rFonts w:ascii="Times New Roman" w:hAnsi="Times New Roman" w:eastAsia="宋体" w:cs="Times New Roman"/>
                <w:color w:val="auto"/>
                <w:kern w:val="0"/>
                <w:sz w:val="21"/>
                <w:szCs w:val="21"/>
              </w:rPr>
              <w:t>。</w:t>
            </w:r>
          </w:p>
          <w:p>
            <w:pPr>
              <w:widowControl/>
              <w:adjustRightInd w:val="0"/>
              <w:snapToGrid w:val="0"/>
              <w:jc w:val="left"/>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2、使用后废弃的一次性使用医疗器械，如注射器、输液器、透析器等；</w:t>
            </w:r>
          </w:p>
          <w:p>
            <w:pPr>
              <w:widowControl/>
              <w:adjustRightInd w:val="0"/>
              <w:snapToGrid w:val="0"/>
              <w:jc w:val="left"/>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3、病原微生物实验室废弃的病原体培养基、标本、菌种和毒种保存液及其容器；其他实验室及科室废弃的血液、血清、分泌物等标本和容器；</w:t>
            </w:r>
          </w:p>
          <w:p>
            <w:pPr>
              <w:widowControl/>
              <w:adjustRightInd w:val="0"/>
              <w:snapToGrid w:val="0"/>
              <w:jc w:val="left"/>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4、隔离传染病患者或者疑似传染病患者产生的废弃物。</w:t>
            </w:r>
          </w:p>
        </w:tc>
        <w:tc>
          <w:tcPr>
            <w:tcW w:w="3402" w:type="dxa"/>
            <w:tcBorders>
              <w:top w:val="single" w:color="auto" w:sz="4" w:space="0"/>
              <w:left w:val="single" w:color="auto" w:sz="4" w:space="0"/>
              <w:bottom w:val="single" w:color="auto" w:sz="4" w:space="0"/>
              <w:right w:val="single" w:color="auto" w:sz="4" w:space="0"/>
            </w:tcBorders>
            <w:shd w:val="clear" w:color="auto" w:fill="auto"/>
          </w:tcPr>
          <w:p>
            <w:pPr>
              <w:widowControl/>
              <w:adjustRightInd w:val="0"/>
              <w:snapToGrid w:val="0"/>
              <w:jc w:val="left"/>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1、收集于符合《医疗废物专用包装袋、容器和警示标志标准》（HJ421）的医疗废物包装袋中；</w:t>
            </w:r>
          </w:p>
          <w:p>
            <w:pPr>
              <w:widowControl/>
              <w:adjustRightInd w:val="0"/>
              <w:snapToGrid w:val="0"/>
              <w:jc w:val="left"/>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2、病原微生物实验室废弃的病原体培养基、标本、菌种和毒种保存液及其容器，应在产生地点进行压力蒸汽灭菌或者使用其他方式消毒，然后按感染性废物收集处理；</w:t>
            </w:r>
          </w:p>
          <w:p>
            <w:pPr>
              <w:widowControl/>
              <w:adjustRightInd w:val="0"/>
              <w:snapToGrid w:val="0"/>
              <w:jc w:val="left"/>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3、隔离传染病患者或者疑似传染病患者产生的废弃物应当使用双层医疗废物包装袋盛装。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0"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center"/>
              <w:rPr>
                <w:rFonts w:ascii="Times New Roman" w:hAnsi="Times New Roman" w:eastAsia="宋体" w:cs="Times New Roman"/>
                <w:b/>
                <w:bCs w:val="0"/>
                <w:color w:val="auto"/>
                <w:kern w:val="0"/>
                <w:sz w:val="21"/>
                <w:szCs w:val="21"/>
              </w:rPr>
            </w:pPr>
            <w:r>
              <w:rPr>
                <w:rFonts w:ascii="Times New Roman" w:hAnsi="Times New Roman" w:eastAsia="宋体" w:cs="Times New Roman"/>
                <w:b/>
                <w:bCs/>
                <w:color w:val="auto"/>
                <w:kern w:val="0"/>
                <w:sz w:val="21"/>
                <w:szCs w:val="21"/>
              </w:rPr>
              <w:t>损伤性废物</w:t>
            </w:r>
          </w:p>
        </w:tc>
        <w:tc>
          <w:tcPr>
            <w:tcW w:w="0"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left"/>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能够刺伤或者割伤人体的废弃的医用锐器。</w:t>
            </w:r>
          </w:p>
        </w:tc>
        <w:tc>
          <w:tcPr>
            <w:tcW w:w="0"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left"/>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1、废弃的金属类锐器，如针头、缝合针、针灸针、探针、穿刺针、解剖刀、手术刀、手术锯、备皮刀、钢钉和导丝等；</w:t>
            </w:r>
          </w:p>
          <w:p>
            <w:pPr>
              <w:widowControl/>
              <w:adjustRightInd w:val="0"/>
              <w:snapToGrid w:val="0"/>
              <w:jc w:val="left"/>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2、废弃的玻璃类锐器，如盖玻片、载玻片、玻璃安瓿等；</w:t>
            </w:r>
          </w:p>
          <w:p>
            <w:pPr>
              <w:widowControl/>
              <w:adjustRightInd w:val="0"/>
              <w:snapToGrid w:val="0"/>
              <w:jc w:val="left"/>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3、废弃的其他材质类锐器。</w:t>
            </w:r>
          </w:p>
        </w:tc>
        <w:tc>
          <w:tcPr>
            <w:tcW w:w="0" w:type="dxa"/>
            <w:tcBorders>
              <w:top w:val="single" w:color="auto" w:sz="4" w:space="0"/>
              <w:left w:val="single" w:color="auto" w:sz="4" w:space="0"/>
              <w:bottom w:val="single" w:color="auto" w:sz="4" w:space="0"/>
              <w:right w:val="single" w:color="auto" w:sz="4" w:space="0"/>
            </w:tcBorders>
            <w:shd w:val="clear" w:color="auto" w:fill="auto"/>
          </w:tcPr>
          <w:p>
            <w:pPr>
              <w:widowControl/>
              <w:adjustRightInd w:val="0"/>
              <w:snapToGrid w:val="0"/>
              <w:jc w:val="left"/>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1、收集于符合《医疗废物专用包装袋、容器和警示标志标准》（HJ421）的利器盒中；</w:t>
            </w:r>
          </w:p>
          <w:p>
            <w:pPr>
              <w:widowControl/>
              <w:adjustRightInd w:val="0"/>
              <w:snapToGrid w:val="0"/>
              <w:jc w:val="left"/>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2、利器盒达到3</w:t>
            </w:r>
            <w:r>
              <w:rPr>
                <w:rFonts w:ascii="Times New Roman" w:hAnsi="Times New Roman" w:eastAsia="宋体" w:cs="Times New Roman"/>
                <w:color w:val="auto"/>
                <w:kern w:val="0"/>
                <w:sz w:val="21"/>
                <w:szCs w:val="21"/>
              </w:rPr>
              <w:t>/4</w:t>
            </w:r>
            <w:r>
              <w:rPr>
                <w:rFonts w:hint="eastAsia" w:ascii="Times New Roman" w:hAnsi="Times New Roman" w:eastAsia="宋体" w:cs="Times New Roman"/>
                <w:color w:val="auto"/>
                <w:kern w:val="0"/>
                <w:sz w:val="21"/>
                <w:szCs w:val="21"/>
              </w:rPr>
              <w:t>满时，应当封闭严密，按流程运送、贮存。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2" w:hRule="atLeast"/>
          <w:jc w:val="center"/>
        </w:trPr>
        <w:tc>
          <w:tcPr>
            <w:tcW w:w="988"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center"/>
              <w:rPr>
                <w:rFonts w:ascii="Times New Roman" w:hAnsi="Times New Roman" w:eastAsia="宋体" w:cs="Times New Roman"/>
                <w:b/>
                <w:bCs/>
                <w:color w:val="auto"/>
                <w:kern w:val="0"/>
                <w:sz w:val="21"/>
                <w:szCs w:val="21"/>
              </w:rPr>
            </w:pPr>
            <w:r>
              <w:rPr>
                <w:rFonts w:ascii="Times New Roman" w:hAnsi="Times New Roman" w:eastAsia="宋体" w:cs="Times New Roman"/>
                <w:b/>
                <w:bCs/>
                <w:color w:val="auto"/>
                <w:kern w:val="0"/>
                <w:sz w:val="21"/>
                <w:szCs w:val="21"/>
              </w:rPr>
              <w:t>病理性废物</w:t>
            </w:r>
          </w:p>
        </w:tc>
        <w:tc>
          <w:tcPr>
            <w:tcW w:w="1417"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left"/>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诊疗过程中产生的人体废弃物和医学实验动物尸体等。</w:t>
            </w:r>
          </w:p>
        </w:tc>
        <w:tc>
          <w:tcPr>
            <w:tcW w:w="3119"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left"/>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1</w:t>
            </w:r>
            <w:r>
              <w:rPr>
                <w:rFonts w:hint="eastAsia" w:ascii="Times New Roman" w:hAnsi="Times New Roman" w:eastAsia="宋体" w:cs="Times New Roman"/>
                <w:color w:val="auto"/>
                <w:kern w:val="0"/>
                <w:sz w:val="21"/>
                <w:szCs w:val="21"/>
              </w:rPr>
              <w:t>、手术及其他医学服务过程中产生的废弃的人体组织、器官；</w:t>
            </w:r>
          </w:p>
          <w:p>
            <w:pPr>
              <w:widowControl/>
              <w:adjustRightInd w:val="0"/>
              <w:snapToGrid w:val="0"/>
              <w:jc w:val="left"/>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2、病理切片后废弃的人体组织、病理蜡块；</w:t>
            </w:r>
          </w:p>
          <w:p>
            <w:pPr>
              <w:widowControl/>
              <w:adjustRightInd w:val="0"/>
              <w:snapToGrid w:val="0"/>
              <w:jc w:val="left"/>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3、废弃的医学实验动物的组织和尸体；</w:t>
            </w:r>
          </w:p>
          <w:p>
            <w:pPr>
              <w:widowControl/>
              <w:adjustRightInd w:val="0"/>
              <w:snapToGrid w:val="0"/>
              <w:jc w:val="left"/>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4、16周胎龄以下或重量不足500克的胚胎组织等；</w:t>
            </w:r>
          </w:p>
          <w:p>
            <w:pPr>
              <w:widowControl/>
              <w:adjustRightInd w:val="0"/>
              <w:snapToGrid w:val="0"/>
              <w:jc w:val="left"/>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5、确诊、疑似传染病或携带传染病病原体的产妇的胎盘。</w:t>
            </w:r>
          </w:p>
        </w:tc>
        <w:tc>
          <w:tcPr>
            <w:tcW w:w="3402" w:type="dxa"/>
            <w:tcBorders>
              <w:top w:val="single" w:color="auto" w:sz="4" w:space="0"/>
              <w:left w:val="single" w:color="auto" w:sz="4" w:space="0"/>
              <w:bottom w:val="single" w:color="auto" w:sz="4" w:space="0"/>
              <w:right w:val="single" w:color="auto" w:sz="4" w:space="0"/>
            </w:tcBorders>
            <w:shd w:val="clear" w:color="auto" w:fill="auto"/>
          </w:tcPr>
          <w:p>
            <w:pPr>
              <w:widowControl/>
              <w:adjustRightInd w:val="0"/>
              <w:snapToGrid w:val="0"/>
              <w:jc w:val="left"/>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1、收集于符合《医疗废物专用包装袋、容器和警示标志标准》（HJ421）的医疗废物包装袋中；</w:t>
            </w:r>
          </w:p>
          <w:p>
            <w:pPr>
              <w:widowControl/>
              <w:adjustRightInd w:val="0"/>
              <w:snapToGrid w:val="0"/>
              <w:jc w:val="left"/>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2、确诊、疑似传染病或携带传染病病原体的产妇的胎盘应使用双层医疗废物包装袋盛装。</w:t>
            </w:r>
          </w:p>
          <w:p>
            <w:pPr>
              <w:widowControl/>
              <w:adjustRightInd w:val="0"/>
              <w:snapToGrid w:val="0"/>
              <w:jc w:val="left"/>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3</w:t>
            </w:r>
            <w:r>
              <w:rPr>
                <w:rFonts w:hint="eastAsia" w:ascii="Times New Roman" w:hAnsi="Times New Roman" w:eastAsia="宋体" w:cs="Times New Roman"/>
                <w:color w:val="auto"/>
                <w:kern w:val="0"/>
                <w:sz w:val="21"/>
                <w:szCs w:val="21"/>
              </w:rPr>
              <w:t>、可进行防腐或者低温保存。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68" w:hRule="atLeast"/>
          <w:jc w:val="center"/>
        </w:trPr>
        <w:tc>
          <w:tcPr>
            <w:tcW w:w="0"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center"/>
              <w:rPr>
                <w:rFonts w:ascii="Times New Roman" w:hAnsi="Times New Roman" w:eastAsia="宋体" w:cs="Times New Roman"/>
                <w:b/>
                <w:bCs w:val="0"/>
                <w:color w:val="auto"/>
                <w:kern w:val="0"/>
                <w:sz w:val="21"/>
                <w:szCs w:val="21"/>
              </w:rPr>
            </w:pPr>
            <w:r>
              <w:rPr>
                <w:rFonts w:ascii="Times New Roman" w:hAnsi="Times New Roman" w:eastAsia="宋体" w:cs="Times New Roman"/>
                <w:b/>
                <w:bCs/>
                <w:color w:val="auto"/>
                <w:kern w:val="0"/>
                <w:sz w:val="21"/>
                <w:szCs w:val="21"/>
              </w:rPr>
              <w:t>药物性废物</w:t>
            </w:r>
          </w:p>
        </w:tc>
        <w:tc>
          <w:tcPr>
            <w:tcW w:w="0"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left"/>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过期、淘汰、变质或者被污染的废弃的</w:t>
            </w:r>
            <w:r>
              <w:rPr>
                <w:rFonts w:hint="eastAsia" w:ascii="Times New Roman" w:hAnsi="Times New Roman" w:eastAsia="宋体" w:cs="Times New Roman"/>
                <w:color w:val="auto"/>
                <w:kern w:val="0"/>
                <w:sz w:val="21"/>
                <w:szCs w:val="21"/>
              </w:rPr>
              <w:t>药物</w:t>
            </w:r>
            <w:r>
              <w:rPr>
                <w:rFonts w:ascii="Times New Roman" w:hAnsi="Times New Roman" w:eastAsia="宋体" w:cs="Times New Roman"/>
                <w:color w:val="auto"/>
                <w:kern w:val="0"/>
                <w:sz w:val="21"/>
                <w:szCs w:val="21"/>
              </w:rPr>
              <w:t>。</w:t>
            </w:r>
          </w:p>
        </w:tc>
        <w:tc>
          <w:tcPr>
            <w:tcW w:w="0"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left"/>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1、废弃的一般性药物；2、废弃的细胞毒性药物和遗传毒性药物；</w:t>
            </w:r>
          </w:p>
          <w:p>
            <w:pPr>
              <w:widowControl/>
              <w:adjustRightInd w:val="0"/>
              <w:snapToGrid w:val="0"/>
              <w:jc w:val="left"/>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3、废弃的疫苗及血液制品。</w:t>
            </w:r>
          </w:p>
        </w:tc>
        <w:tc>
          <w:tcPr>
            <w:tcW w:w="0" w:type="dxa"/>
            <w:tcBorders>
              <w:top w:val="single" w:color="auto" w:sz="4" w:space="0"/>
              <w:left w:val="single" w:color="auto" w:sz="4" w:space="0"/>
              <w:bottom w:val="single" w:color="auto" w:sz="4" w:space="0"/>
              <w:right w:val="single" w:color="auto" w:sz="4" w:space="0"/>
            </w:tcBorders>
            <w:shd w:val="clear" w:color="auto" w:fill="auto"/>
          </w:tcPr>
          <w:p>
            <w:pPr>
              <w:widowControl/>
              <w:adjustRightInd w:val="0"/>
              <w:snapToGrid w:val="0"/>
              <w:jc w:val="left"/>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1、少量的药物性废物可以并入感染性废物中，但应在标签中注明；</w:t>
            </w:r>
          </w:p>
          <w:p>
            <w:pPr>
              <w:widowControl/>
              <w:adjustRightInd w:val="0"/>
              <w:snapToGrid w:val="0"/>
              <w:jc w:val="left"/>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2、批量废弃的药物性废物，收集后应交由具备相应资质的医疗废物处置单位或者危险废物处置单位等进行处置。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38" w:hRule="atLeast"/>
          <w:jc w:val="center"/>
        </w:trPr>
        <w:tc>
          <w:tcPr>
            <w:tcW w:w="0"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center"/>
              <w:rPr>
                <w:rFonts w:ascii="Times New Roman" w:hAnsi="Times New Roman" w:eastAsia="宋体" w:cs="Times New Roman"/>
                <w:b/>
                <w:bCs w:val="0"/>
                <w:color w:val="auto"/>
                <w:kern w:val="0"/>
                <w:sz w:val="21"/>
                <w:szCs w:val="21"/>
              </w:rPr>
            </w:pPr>
            <w:r>
              <w:rPr>
                <w:rFonts w:ascii="Times New Roman" w:hAnsi="Times New Roman" w:eastAsia="宋体" w:cs="Times New Roman"/>
                <w:b/>
                <w:bCs/>
                <w:color w:val="auto"/>
                <w:kern w:val="0"/>
                <w:sz w:val="21"/>
                <w:szCs w:val="21"/>
              </w:rPr>
              <w:t>化学性废物</w:t>
            </w:r>
          </w:p>
        </w:tc>
        <w:tc>
          <w:tcPr>
            <w:tcW w:w="0"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left"/>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具有毒性、腐蚀性、易燃</w:t>
            </w:r>
            <w:r>
              <w:rPr>
                <w:rFonts w:hint="eastAsia" w:ascii="Times New Roman" w:hAnsi="Times New Roman" w:eastAsia="宋体" w:cs="Times New Roman"/>
                <w:color w:val="auto"/>
                <w:kern w:val="0"/>
                <w:sz w:val="21"/>
                <w:szCs w:val="21"/>
              </w:rPr>
              <w:t>性、反应性</w:t>
            </w:r>
            <w:r>
              <w:rPr>
                <w:rFonts w:ascii="Times New Roman" w:hAnsi="Times New Roman" w:eastAsia="宋体" w:cs="Times New Roman"/>
                <w:color w:val="auto"/>
                <w:kern w:val="0"/>
                <w:sz w:val="21"/>
                <w:szCs w:val="21"/>
              </w:rPr>
              <w:t>的废弃的化学物品。</w:t>
            </w:r>
          </w:p>
        </w:tc>
        <w:tc>
          <w:tcPr>
            <w:tcW w:w="0"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left"/>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列入《国家危险废物名录》中的废弃危险化学品，如甲醛、二甲苯等；非特定行业来源的危险废物，如含汞血压计、含汞体温计，废弃的牙科汞合金材料及其残余物等。</w:t>
            </w:r>
          </w:p>
        </w:tc>
        <w:tc>
          <w:tcPr>
            <w:tcW w:w="0" w:type="dxa"/>
            <w:tcBorders>
              <w:top w:val="single" w:color="auto" w:sz="4" w:space="0"/>
              <w:left w:val="single" w:color="auto" w:sz="4" w:space="0"/>
              <w:bottom w:val="single" w:color="auto" w:sz="4" w:space="0"/>
              <w:right w:val="single" w:color="auto" w:sz="4" w:space="0"/>
            </w:tcBorders>
            <w:shd w:val="clear" w:color="auto" w:fill="auto"/>
          </w:tcPr>
          <w:p>
            <w:pPr>
              <w:widowControl/>
              <w:adjustRightInd w:val="0"/>
              <w:snapToGrid w:val="0"/>
              <w:jc w:val="left"/>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1、收集于容器中，粘贴标签并注明主要成分；</w:t>
            </w:r>
          </w:p>
          <w:p>
            <w:pPr>
              <w:widowControl/>
              <w:adjustRightInd w:val="0"/>
              <w:snapToGrid w:val="0"/>
              <w:jc w:val="left"/>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2、收集后应交由具备相应资质的医疗废物处置单位或者危险废物处置单位等进行处置。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2" w:hRule="atLeast"/>
          <w:jc w:val="center"/>
        </w:trPr>
        <w:tc>
          <w:tcPr>
            <w:tcW w:w="8926" w:type="dxa"/>
            <w:gridSpan w:val="4"/>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left"/>
              <w:rPr>
                <w:rFonts w:ascii="Times New Roman" w:hAnsi="Times New Roman" w:eastAsia="宋体" w:cs="Times New Roman"/>
                <w:b w:val="0"/>
                <w:bCs w:val="0"/>
                <w:color w:val="auto"/>
                <w:kern w:val="0"/>
                <w:sz w:val="21"/>
                <w:szCs w:val="21"/>
              </w:rPr>
            </w:pPr>
            <w:r>
              <w:rPr>
                <w:rFonts w:hint="eastAsia" w:ascii="Times New Roman" w:hAnsi="Times New Roman" w:eastAsia="宋体" w:cs="Times New Roman"/>
                <w:b/>
                <w:bCs/>
                <w:color w:val="auto"/>
                <w:kern w:val="0"/>
                <w:sz w:val="21"/>
                <w:szCs w:val="21"/>
              </w:rPr>
              <w:t>说明：</w:t>
            </w:r>
            <w:r>
              <w:rPr>
                <w:rFonts w:hint="eastAsia" w:ascii="Times New Roman" w:hAnsi="Times New Roman" w:eastAsia="宋体" w:cs="Times New Roman"/>
                <w:b w:val="0"/>
                <w:bCs w:val="0"/>
                <w:color w:val="auto"/>
                <w:kern w:val="0"/>
                <w:sz w:val="21"/>
                <w:szCs w:val="21"/>
              </w:rPr>
              <w:t>因以下废弃物不属于医疗废物，故未列入此表中。</w:t>
            </w:r>
          </w:p>
          <w:p>
            <w:pPr>
              <w:widowControl/>
              <w:adjustRightInd w:val="0"/>
              <w:snapToGrid w:val="0"/>
              <w:jc w:val="left"/>
              <w:rPr>
                <w:rFonts w:ascii="Times New Roman" w:hAnsi="Times New Roman" w:eastAsia="宋体" w:cs="Times New Roman"/>
                <w:b w:val="0"/>
                <w:bCs w:val="0"/>
                <w:color w:val="auto"/>
                <w:kern w:val="0"/>
                <w:sz w:val="21"/>
                <w:szCs w:val="21"/>
              </w:rPr>
            </w:pPr>
            <w:r>
              <w:rPr>
                <w:rFonts w:hint="eastAsia" w:ascii="Times New Roman" w:hAnsi="Times New Roman" w:eastAsia="宋体" w:cs="Times New Roman"/>
                <w:b/>
                <w:bCs/>
                <w:color w:val="auto"/>
                <w:kern w:val="0"/>
                <w:sz w:val="21"/>
                <w:szCs w:val="21"/>
              </w:rPr>
              <w:t>如：</w:t>
            </w:r>
            <w:r>
              <w:rPr>
                <w:rFonts w:hint="eastAsia" w:ascii="Times New Roman" w:hAnsi="Times New Roman" w:eastAsia="宋体" w:cs="Times New Roman"/>
                <w:b w:val="0"/>
                <w:bCs w:val="0"/>
                <w:color w:val="auto"/>
                <w:kern w:val="0"/>
                <w:sz w:val="21"/>
                <w:szCs w:val="21"/>
              </w:rPr>
              <w:t>非传染病区使用或者未用于传染病患者、疑似传染病患者以及采取隔离措施的其他患者的输液瓶（袋）。盛装消毒剂、透析液的空容器，一次性医用外包装物，废弃的中草药与中草药煎制后的残渣，盛装药物的药杯，尿杯，纸巾、湿巾、尿不湿、卫生巾、护理垫等一次性卫生用品，医用织物以及使用后的大、小便器等。居民日常生活中废弃的一次性口罩不属于医疗废物。</w:t>
            </w:r>
          </w:p>
        </w:tc>
      </w:tr>
    </w:tbl>
    <w:p>
      <w:pPr>
        <w:pStyle w:val="32"/>
        <w:ind w:firstLine="480"/>
        <w:rPr>
          <w:color w:val="auto"/>
        </w:rPr>
      </w:pPr>
      <w:r>
        <w:rPr>
          <w:rFonts w:hint="eastAsia"/>
          <w:color w:val="auto"/>
        </w:rPr>
        <w:t>从医疗废物的产生源头考虑，是减少医疗废物产生及处置量的一个重要方向。2021年版的《医疗废物分类目录》在2003年版的基础上重新做了修订和补充说明，对五类医疗废物常见组分或废物名称做不同程度的调整，并提出收集方式。目录中要求“医疗废物的分类收集应当根据其特性和处置方式进行，并于当地医疗废物处置的方式相衔接。在保证医疗安全的情况下，鼓励医疗卫生机构逐步减少含汞血压计和体温计，鼓励使用可复用的医疗器械、器具和用品替代一次性医疗器械、器具和用品，以实现源头减量”。</w:t>
      </w:r>
    </w:p>
    <w:p>
      <w:pPr>
        <w:pStyle w:val="32"/>
        <w:ind w:firstLine="480"/>
        <w:rPr>
          <w:color w:val="auto"/>
        </w:rPr>
      </w:pPr>
      <w:r>
        <w:rPr>
          <w:rFonts w:hint="eastAsia"/>
          <w:color w:val="auto"/>
        </w:rPr>
        <w:t>重点针对“符合医疗废物定义、但无风险或者风险较低的医疗废物，在满足相关条件时，可以不按照医疗废物进行管理”，具体体现在“医疗废物豁免管理清单”中，列入目录中的医疗废物“在满足相应条件时，在部分环节或全部环节可不按医疗废物进行管理”。这意味着我国的医疗废物管控工作从源头开始正在进行一场新的改革和发展。</w:t>
      </w:r>
    </w:p>
    <w:p>
      <w:pPr>
        <w:pStyle w:val="23"/>
        <w:numPr>
          <w:ilvl w:val="0"/>
          <w:numId w:val="3"/>
        </w:numPr>
        <w:spacing w:line="360" w:lineRule="auto"/>
        <w:ind w:firstLineChars="0"/>
        <w:jc w:val="center"/>
        <w:rPr>
          <w:rFonts w:ascii="Times New Roman" w:hAnsi="Times New Roman" w:eastAsia="宋体" w:cs="Times New Roman"/>
          <w:b/>
          <w:color w:val="auto"/>
          <w:szCs w:val="21"/>
        </w:rPr>
      </w:pPr>
      <w:r>
        <w:rPr>
          <w:rFonts w:hint="eastAsia" w:ascii="Times New Roman" w:hAnsi="Times New Roman" w:eastAsia="宋体" w:cs="Times New Roman"/>
          <w:b/>
          <w:color w:val="auto"/>
          <w:szCs w:val="21"/>
        </w:rPr>
        <w:t>《医疗废物分类目录（</w:t>
      </w:r>
      <w:r>
        <w:rPr>
          <w:rFonts w:ascii="Times New Roman" w:hAnsi="Times New Roman" w:eastAsia="宋体" w:cs="Times New Roman"/>
          <w:b/>
          <w:color w:val="auto"/>
          <w:szCs w:val="21"/>
        </w:rPr>
        <w:t>202</w:t>
      </w:r>
      <w:r>
        <w:rPr>
          <w:rFonts w:hint="eastAsia" w:ascii="Times New Roman" w:hAnsi="Times New Roman" w:eastAsia="宋体" w:cs="Times New Roman"/>
          <w:b/>
          <w:color w:val="auto"/>
          <w:szCs w:val="21"/>
        </w:rPr>
        <w:t>1年版）》中医疗废物豁免管理清单</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25"/>
        <w:gridCol w:w="1792"/>
        <w:gridCol w:w="1536"/>
        <w:gridCol w:w="2751"/>
        <w:gridCol w:w="15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5" w:type="dxa"/>
            <w:vAlign w:val="center"/>
          </w:tcPr>
          <w:p>
            <w:pPr>
              <w:adjustRightInd w:val="0"/>
              <w:snapToGrid w:val="0"/>
              <w:jc w:val="center"/>
              <w:rPr>
                <w:rFonts w:ascii="Times New Roman" w:hAnsi="Times New Roman" w:eastAsia="宋体" w:cs="Times New Roman"/>
                <w:b/>
                <w:color w:val="auto"/>
                <w:kern w:val="0"/>
                <w:sz w:val="21"/>
                <w:szCs w:val="21"/>
              </w:rPr>
            </w:pPr>
            <w:r>
              <w:rPr>
                <w:rFonts w:hint="eastAsia" w:ascii="Times New Roman" w:hAnsi="Times New Roman" w:eastAsia="宋体" w:cs="Times New Roman"/>
                <w:b/>
                <w:color w:val="auto"/>
                <w:kern w:val="0"/>
                <w:sz w:val="21"/>
                <w:szCs w:val="21"/>
              </w:rPr>
              <w:t>序号</w:t>
            </w:r>
          </w:p>
        </w:tc>
        <w:tc>
          <w:tcPr>
            <w:tcW w:w="1792" w:type="dxa"/>
            <w:vAlign w:val="center"/>
          </w:tcPr>
          <w:p>
            <w:pPr>
              <w:adjustRightInd w:val="0"/>
              <w:snapToGrid w:val="0"/>
              <w:jc w:val="center"/>
              <w:rPr>
                <w:rFonts w:ascii="Times New Roman" w:hAnsi="Times New Roman" w:eastAsia="宋体" w:cs="Times New Roman"/>
                <w:b/>
                <w:color w:val="auto"/>
                <w:kern w:val="0"/>
                <w:sz w:val="21"/>
                <w:szCs w:val="21"/>
              </w:rPr>
            </w:pPr>
            <w:r>
              <w:rPr>
                <w:rFonts w:hint="eastAsia" w:ascii="Times New Roman" w:hAnsi="Times New Roman" w:eastAsia="宋体" w:cs="Times New Roman"/>
                <w:b/>
                <w:color w:val="auto"/>
                <w:kern w:val="0"/>
                <w:sz w:val="21"/>
                <w:szCs w:val="21"/>
              </w:rPr>
              <w:t>名称</w:t>
            </w:r>
          </w:p>
        </w:tc>
        <w:tc>
          <w:tcPr>
            <w:tcW w:w="1536" w:type="dxa"/>
            <w:vAlign w:val="center"/>
          </w:tcPr>
          <w:p>
            <w:pPr>
              <w:adjustRightInd w:val="0"/>
              <w:snapToGrid w:val="0"/>
              <w:jc w:val="center"/>
              <w:rPr>
                <w:rFonts w:ascii="Times New Roman" w:hAnsi="Times New Roman" w:eastAsia="宋体" w:cs="Times New Roman"/>
                <w:b/>
                <w:color w:val="auto"/>
                <w:kern w:val="0"/>
                <w:sz w:val="21"/>
                <w:szCs w:val="21"/>
              </w:rPr>
            </w:pPr>
            <w:r>
              <w:rPr>
                <w:rFonts w:hint="eastAsia" w:ascii="Times New Roman" w:hAnsi="Times New Roman" w:eastAsia="宋体" w:cs="Times New Roman"/>
                <w:b/>
                <w:color w:val="auto"/>
                <w:kern w:val="0"/>
                <w:sz w:val="21"/>
                <w:szCs w:val="21"/>
              </w:rPr>
              <w:t>豁免环节</w:t>
            </w:r>
          </w:p>
        </w:tc>
        <w:tc>
          <w:tcPr>
            <w:tcW w:w="2751" w:type="dxa"/>
            <w:vAlign w:val="center"/>
          </w:tcPr>
          <w:p>
            <w:pPr>
              <w:adjustRightInd w:val="0"/>
              <w:snapToGrid w:val="0"/>
              <w:jc w:val="center"/>
              <w:rPr>
                <w:rFonts w:ascii="Times New Roman" w:hAnsi="Times New Roman" w:eastAsia="宋体" w:cs="Times New Roman"/>
                <w:b/>
                <w:color w:val="auto"/>
                <w:kern w:val="0"/>
                <w:sz w:val="21"/>
                <w:szCs w:val="21"/>
              </w:rPr>
            </w:pPr>
            <w:r>
              <w:rPr>
                <w:rFonts w:hint="eastAsia" w:ascii="Times New Roman" w:hAnsi="Times New Roman" w:eastAsia="宋体" w:cs="Times New Roman"/>
                <w:b/>
                <w:color w:val="auto"/>
                <w:kern w:val="0"/>
                <w:sz w:val="21"/>
                <w:szCs w:val="21"/>
              </w:rPr>
              <w:t>豁免条件</w:t>
            </w:r>
          </w:p>
        </w:tc>
        <w:tc>
          <w:tcPr>
            <w:tcW w:w="1592" w:type="dxa"/>
            <w:vAlign w:val="center"/>
          </w:tcPr>
          <w:p>
            <w:pPr>
              <w:adjustRightInd w:val="0"/>
              <w:snapToGrid w:val="0"/>
              <w:jc w:val="center"/>
              <w:rPr>
                <w:rFonts w:ascii="Times New Roman" w:hAnsi="Times New Roman" w:eastAsia="宋体" w:cs="Times New Roman"/>
                <w:b/>
                <w:color w:val="auto"/>
                <w:kern w:val="0"/>
                <w:sz w:val="21"/>
                <w:szCs w:val="21"/>
              </w:rPr>
            </w:pPr>
            <w:r>
              <w:rPr>
                <w:rFonts w:hint="eastAsia" w:ascii="Times New Roman" w:hAnsi="Times New Roman" w:eastAsia="宋体" w:cs="Times New Roman"/>
                <w:b/>
                <w:color w:val="auto"/>
                <w:kern w:val="0"/>
                <w:sz w:val="21"/>
                <w:szCs w:val="21"/>
              </w:rPr>
              <w:t>豁免内容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5" w:type="dxa"/>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1</w:t>
            </w:r>
          </w:p>
        </w:tc>
        <w:tc>
          <w:tcPr>
            <w:tcW w:w="1792" w:type="dxa"/>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密封药瓶、安瓿瓶等玻璃药瓶</w:t>
            </w:r>
          </w:p>
        </w:tc>
        <w:tc>
          <w:tcPr>
            <w:tcW w:w="1536" w:type="dxa"/>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收集</w:t>
            </w:r>
          </w:p>
        </w:tc>
        <w:tc>
          <w:tcPr>
            <w:tcW w:w="2751" w:type="dxa"/>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盛装容器应满足防渗漏、防刺破要求，并有医疗废物标识或者外加一层医疗废物包装袋。标签为损伤性废物，并注明：密封药瓶或者安瓿瓶。</w:t>
            </w:r>
          </w:p>
        </w:tc>
        <w:tc>
          <w:tcPr>
            <w:tcW w:w="1592" w:type="dxa"/>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可不使用利器盒收集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5" w:type="dxa"/>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2</w:t>
            </w:r>
          </w:p>
        </w:tc>
        <w:tc>
          <w:tcPr>
            <w:tcW w:w="1792" w:type="dxa"/>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导丝</w:t>
            </w:r>
          </w:p>
        </w:tc>
        <w:tc>
          <w:tcPr>
            <w:tcW w:w="1536" w:type="dxa"/>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收集</w:t>
            </w:r>
          </w:p>
        </w:tc>
        <w:tc>
          <w:tcPr>
            <w:tcW w:w="2751" w:type="dxa"/>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盛装容器应满足防渗漏、防刺破要求，并有医疗废物标识或者外加一层医疗废物包装袋。标签为损伤性废物，并注明：导丝。</w:t>
            </w:r>
          </w:p>
        </w:tc>
        <w:tc>
          <w:tcPr>
            <w:tcW w:w="1592" w:type="dxa"/>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可不使用利器盒收集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5" w:type="dxa"/>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3</w:t>
            </w:r>
          </w:p>
        </w:tc>
        <w:tc>
          <w:tcPr>
            <w:tcW w:w="1792" w:type="dxa"/>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棉签、棉球、输液贴</w:t>
            </w:r>
          </w:p>
        </w:tc>
        <w:tc>
          <w:tcPr>
            <w:tcW w:w="1536" w:type="dxa"/>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全部环节</w:t>
            </w:r>
          </w:p>
        </w:tc>
        <w:tc>
          <w:tcPr>
            <w:tcW w:w="2751" w:type="dxa"/>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患者自行用于按压止血而未收集于医疗废物容器中的棉签、棉球、输液贴。</w:t>
            </w:r>
          </w:p>
        </w:tc>
        <w:tc>
          <w:tcPr>
            <w:tcW w:w="1592" w:type="dxa"/>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全过程不按照医疗废物管理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5" w:type="dxa"/>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4</w:t>
            </w:r>
          </w:p>
        </w:tc>
        <w:tc>
          <w:tcPr>
            <w:tcW w:w="1792" w:type="dxa"/>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感染性废物、损伤性废物以及相关技术可处理的病理性废物</w:t>
            </w:r>
          </w:p>
        </w:tc>
        <w:tc>
          <w:tcPr>
            <w:tcW w:w="1536" w:type="dxa"/>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运输、贮存、处置</w:t>
            </w:r>
          </w:p>
        </w:tc>
        <w:tc>
          <w:tcPr>
            <w:tcW w:w="2751" w:type="dxa"/>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按照相关处理标准规范，采用高温蒸汽、微波、化学消毒、高温干热或者其他方式消毒处理后，在满足相关入厂（场）要求的前提下，运输至生活垃圾焚烧厂或生活垃圾填埋场等处置。</w:t>
            </w:r>
          </w:p>
        </w:tc>
        <w:tc>
          <w:tcPr>
            <w:tcW w:w="1592" w:type="dxa"/>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运输、贮存、处置过程不按照医疗废物管理</w:t>
            </w:r>
          </w:p>
        </w:tc>
      </w:tr>
    </w:tbl>
    <w:p>
      <w:pPr>
        <w:adjustRightInd w:val="0"/>
        <w:snapToGrid w:val="0"/>
        <w:rPr>
          <w:rFonts w:ascii="Times New Roman" w:hAnsi="Times New Roman" w:eastAsia="宋体" w:cs="Times New Roman"/>
          <w:color w:val="auto"/>
        </w:rPr>
      </w:pPr>
    </w:p>
    <w:p>
      <w:pPr>
        <w:pStyle w:val="4"/>
        <w:rPr>
          <w:rFonts w:cs="Times New Roman"/>
          <w:color w:val="auto"/>
        </w:rPr>
      </w:pPr>
      <w:bookmarkStart w:id="14" w:name="_Toc30273"/>
      <w:r>
        <w:rPr>
          <w:rFonts w:cs="Times New Roman"/>
          <w:color w:val="auto"/>
        </w:rPr>
        <w:t>医疗废物的危险特性</w:t>
      </w:r>
      <w:bookmarkEnd w:id="14"/>
    </w:p>
    <w:p>
      <w:pPr>
        <w:pStyle w:val="32"/>
        <w:ind w:firstLine="480"/>
        <w:rPr>
          <w:color w:val="auto"/>
        </w:rPr>
      </w:pPr>
      <w:r>
        <w:rPr>
          <w:rFonts w:hint="eastAsia"/>
          <w:color w:val="auto"/>
        </w:rPr>
        <w:t>根据《国家危险废物名录》（</w:t>
      </w:r>
      <w:r>
        <w:rPr>
          <w:color w:val="auto"/>
        </w:rPr>
        <w:t>2021</w:t>
      </w:r>
      <w:r>
        <w:rPr>
          <w:rFonts w:hint="eastAsia"/>
          <w:color w:val="auto"/>
        </w:rPr>
        <w:t>版）规定，医疗废物主要来源于卫生行业，其中感染性、损伤性、病理性废物的主要危险特性为感染性（</w:t>
      </w:r>
      <w:r>
        <w:rPr>
          <w:color w:val="auto"/>
        </w:rPr>
        <w:t>Infectivity</w:t>
      </w:r>
      <w:r>
        <w:rPr>
          <w:rFonts w:hint="eastAsia"/>
          <w:color w:val="auto"/>
        </w:rPr>
        <w:t>，</w:t>
      </w:r>
      <w:r>
        <w:rPr>
          <w:color w:val="auto"/>
        </w:rPr>
        <w:t>In</w:t>
      </w:r>
      <w:r>
        <w:rPr>
          <w:rFonts w:hint="eastAsia"/>
          <w:color w:val="auto"/>
        </w:rPr>
        <w:t>），化学性废物具有毒性（</w:t>
      </w:r>
      <w:r>
        <w:rPr>
          <w:color w:val="auto"/>
        </w:rPr>
        <w:t>Toxicity</w:t>
      </w:r>
      <w:r>
        <w:rPr>
          <w:rFonts w:hint="eastAsia"/>
          <w:color w:val="auto"/>
        </w:rPr>
        <w:t>，</w:t>
      </w:r>
      <w:r>
        <w:rPr>
          <w:color w:val="auto"/>
        </w:rPr>
        <w:t>T</w:t>
      </w:r>
      <w:r>
        <w:rPr>
          <w:rFonts w:hint="eastAsia"/>
          <w:color w:val="auto"/>
        </w:rPr>
        <w:t>）、腐蚀性（</w:t>
      </w:r>
      <w:r>
        <w:rPr>
          <w:color w:val="auto"/>
        </w:rPr>
        <w:t>Corrosivity</w:t>
      </w:r>
      <w:r>
        <w:rPr>
          <w:rFonts w:hint="eastAsia"/>
          <w:color w:val="auto"/>
        </w:rPr>
        <w:t>，</w:t>
      </w:r>
      <w:r>
        <w:rPr>
          <w:color w:val="auto"/>
        </w:rPr>
        <w:t>C</w:t>
      </w:r>
      <w:r>
        <w:rPr>
          <w:rFonts w:hint="eastAsia"/>
          <w:color w:val="auto"/>
        </w:rPr>
        <w:t>）、易燃性（</w:t>
      </w:r>
      <w:r>
        <w:rPr>
          <w:color w:val="auto"/>
        </w:rPr>
        <w:t>Ignitability</w:t>
      </w:r>
      <w:r>
        <w:rPr>
          <w:rFonts w:hint="eastAsia"/>
          <w:color w:val="auto"/>
        </w:rPr>
        <w:t>，</w:t>
      </w:r>
      <w:r>
        <w:rPr>
          <w:color w:val="auto"/>
        </w:rPr>
        <w:t>I</w:t>
      </w:r>
      <w:r>
        <w:rPr>
          <w:rFonts w:hint="eastAsia"/>
          <w:color w:val="auto"/>
        </w:rPr>
        <w:t>）、反应性（</w:t>
      </w:r>
      <w:r>
        <w:rPr>
          <w:color w:val="auto"/>
        </w:rPr>
        <w:t>Reactivity</w:t>
      </w:r>
      <w:r>
        <w:rPr>
          <w:rFonts w:hint="eastAsia"/>
          <w:color w:val="auto"/>
        </w:rPr>
        <w:t>，</w:t>
      </w:r>
      <w:r>
        <w:rPr>
          <w:color w:val="auto"/>
        </w:rPr>
        <w:t>R</w:t>
      </w:r>
      <w:r>
        <w:rPr>
          <w:rFonts w:hint="eastAsia"/>
          <w:color w:val="auto"/>
        </w:rPr>
        <w:t>）其中一种或多种危险特性，药物性废物的主要危险特性为毒性。同时最新版《医疗废物分类目录》（2021版）中还指出“药物性废物和化学性废物可分别按照《国家危险废物名录》中HW03类和HW49类进行处置”。</w:t>
      </w:r>
    </w:p>
    <w:p>
      <w:pPr>
        <w:pStyle w:val="23"/>
        <w:numPr>
          <w:ilvl w:val="0"/>
          <w:numId w:val="3"/>
        </w:numPr>
        <w:spacing w:line="360" w:lineRule="auto"/>
        <w:ind w:firstLineChars="0"/>
        <w:jc w:val="center"/>
        <w:rPr>
          <w:rFonts w:ascii="Times New Roman" w:hAnsi="Times New Roman" w:eastAsia="宋体" w:cs="Times New Roman"/>
          <w:b/>
          <w:color w:val="auto"/>
          <w:szCs w:val="21"/>
        </w:rPr>
      </w:pPr>
      <w:r>
        <w:rPr>
          <w:rFonts w:hint="eastAsia" w:ascii="Times New Roman" w:hAnsi="Times New Roman" w:eastAsia="宋体" w:cs="Times New Roman"/>
          <w:b/>
          <w:color w:val="auto"/>
          <w:szCs w:val="21"/>
        </w:rPr>
        <w:t>国家危险废物名录中关于医疗废物的规定</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3"/>
        <w:gridCol w:w="1417"/>
        <w:gridCol w:w="1843"/>
        <w:gridCol w:w="1963"/>
        <w:gridCol w:w="1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Align w:val="center"/>
          </w:tcPr>
          <w:p>
            <w:pPr>
              <w:jc w:val="center"/>
              <w:rPr>
                <w:rFonts w:ascii="Times New Roman" w:hAnsi="Times New Roman" w:eastAsia="宋体" w:cs="Times New Roman"/>
                <w:b/>
                <w:color w:val="auto"/>
                <w:kern w:val="0"/>
                <w:sz w:val="21"/>
                <w:szCs w:val="21"/>
              </w:rPr>
            </w:pPr>
            <w:r>
              <w:rPr>
                <w:rFonts w:hint="eastAsia" w:ascii="Times New Roman" w:hAnsi="Times New Roman" w:eastAsia="宋体" w:cs="Times New Roman"/>
                <w:b/>
                <w:color w:val="auto"/>
                <w:kern w:val="0"/>
                <w:sz w:val="21"/>
                <w:szCs w:val="21"/>
              </w:rPr>
              <w:t>废物类别</w:t>
            </w:r>
          </w:p>
        </w:tc>
        <w:tc>
          <w:tcPr>
            <w:tcW w:w="1417" w:type="dxa"/>
            <w:vAlign w:val="center"/>
          </w:tcPr>
          <w:p>
            <w:pPr>
              <w:jc w:val="center"/>
              <w:rPr>
                <w:rFonts w:ascii="Times New Roman" w:hAnsi="Times New Roman" w:eastAsia="宋体" w:cs="Times New Roman"/>
                <w:b/>
                <w:color w:val="auto"/>
                <w:kern w:val="0"/>
                <w:sz w:val="21"/>
                <w:szCs w:val="21"/>
              </w:rPr>
            </w:pPr>
            <w:r>
              <w:rPr>
                <w:rFonts w:hint="eastAsia" w:ascii="Times New Roman" w:hAnsi="Times New Roman" w:eastAsia="宋体" w:cs="Times New Roman"/>
                <w:b/>
                <w:color w:val="auto"/>
                <w:kern w:val="0"/>
                <w:sz w:val="21"/>
                <w:szCs w:val="21"/>
              </w:rPr>
              <w:t>行业来源</w:t>
            </w:r>
          </w:p>
        </w:tc>
        <w:tc>
          <w:tcPr>
            <w:tcW w:w="1843" w:type="dxa"/>
            <w:vAlign w:val="center"/>
          </w:tcPr>
          <w:p>
            <w:pPr>
              <w:jc w:val="center"/>
              <w:rPr>
                <w:rFonts w:ascii="Times New Roman" w:hAnsi="Times New Roman" w:eastAsia="宋体" w:cs="Times New Roman"/>
                <w:b/>
                <w:color w:val="auto"/>
                <w:kern w:val="0"/>
                <w:sz w:val="21"/>
                <w:szCs w:val="21"/>
              </w:rPr>
            </w:pPr>
            <w:r>
              <w:rPr>
                <w:rFonts w:hint="eastAsia" w:ascii="Times New Roman" w:hAnsi="Times New Roman" w:eastAsia="宋体" w:cs="Times New Roman"/>
                <w:b/>
                <w:color w:val="auto"/>
                <w:kern w:val="0"/>
                <w:sz w:val="21"/>
                <w:szCs w:val="21"/>
              </w:rPr>
              <w:t>废物代码</w:t>
            </w:r>
          </w:p>
        </w:tc>
        <w:tc>
          <w:tcPr>
            <w:tcW w:w="1963" w:type="dxa"/>
            <w:vAlign w:val="center"/>
          </w:tcPr>
          <w:p>
            <w:pPr>
              <w:jc w:val="center"/>
              <w:rPr>
                <w:rFonts w:ascii="Times New Roman" w:hAnsi="Times New Roman" w:eastAsia="宋体" w:cs="Times New Roman"/>
                <w:b/>
                <w:color w:val="auto"/>
                <w:kern w:val="0"/>
                <w:sz w:val="21"/>
                <w:szCs w:val="21"/>
              </w:rPr>
            </w:pPr>
            <w:r>
              <w:rPr>
                <w:rFonts w:hint="eastAsia" w:ascii="Times New Roman" w:hAnsi="Times New Roman" w:eastAsia="宋体" w:cs="Times New Roman"/>
                <w:b/>
                <w:color w:val="auto"/>
                <w:kern w:val="0"/>
                <w:sz w:val="21"/>
                <w:szCs w:val="21"/>
              </w:rPr>
              <w:t>危险废物</w:t>
            </w:r>
          </w:p>
        </w:tc>
        <w:tc>
          <w:tcPr>
            <w:tcW w:w="1660" w:type="dxa"/>
            <w:vAlign w:val="center"/>
          </w:tcPr>
          <w:p>
            <w:pPr>
              <w:jc w:val="center"/>
              <w:rPr>
                <w:rFonts w:ascii="Times New Roman" w:hAnsi="Times New Roman" w:eastAsia="宋体" w:cs="Times New Roman"/>
                <w:b/>
                <w:color w:val="auto"/>
                <w:kern w:val="0"/>
                <w:sz w:val="21"/>
                <w:szCs w:val="21"/>
              </w:rPr>
            </w:pPr>
            <w:r>
              <w:rPr>
                <w:rFonts w:hint="eastAsia" w:ascii="Times New Roman" w:hAnsi="Times New Roman" w:eastAsia="宋体" w:cs="Times New Roman"/>
                <w:b/>
                <w:color w:val="auto"/>
                <w:kern w:val="0"/>
                <w:sz w:val="21"/>
                <w:szCs w:val="21"/>
              </w:rPr>
              <w:t>危险特性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Merge w:val="restart"/>
            <w:vAlign w:val="center"/>
          </w:tcPr>
          <w:p>
            <w:pPr>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HW01</w:t>
            </w:r>
          </w:p>
          <w:p>
            <w:pPr>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医疗废物</w:t>
            </w:r>
          </w:p>
        </w:tc>
        <w:tc>
          <w:tcPr>
            <w:tcW w:w="1417" w:type="dxa"/>
            <w:vMerge w:val="restart"/>
            <w:vAlign w:val="center"/>
          </w:tcPr>
          <w:p>
            <w:pPr>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卫生</w:t>
            </w:r>
          </w:p>
        </w:tc>
        <w:tc>
          <w:tcPr>
            <w:tcW w:w="1843" w:type="dxa"/>
            <w:vAlign w:val="center"/>
          </w:tcPr>
          <w:p>
            <w:pPr>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841-001-01</w:t>
            </w:r>
          </w:p>
        </w:tc>
        <w:tc>
          <w:tcPr>
            <w:tcW w:w="1963" w:type="dxa"/>
            <w:vAlign w:val="center"/>
          </w:tcPr>
          <w:p>
            <w:pPr>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感染性废物</w:t>
            </w:r>
          </w:p>
        </w:tc>
        <w:tc>
          <w:tcPr>
            <w:tcW w:w="1660" w:type="dxa"/>
            <w:vAlign w:val="center"/>
          </w:tcPr>
          <w:p>
            <w:pPr>
              <w:jc w:val="center"/>
              <w:rPr>
                <w:rFonts w:ascii="Times New Roman" w:hAnsi="Times New Roman" w:eastAsia="宋体" w:cs="Times New Roman"/>
                <w:bCs/>
                <w:color w:val="auto"/>
                <w:kern w:val="0"/>
                <w:sz w:val="21"/>
                <w:szCs w:val="21"/>
              </w:rPr>
            </w:pPr>
            <w:r>
              <w:rPr>
                <w:rFonts w:ascii="Times New Roman" w:hAnsi="Times New Roman" w:eastAsia="宋体" w:cs="Times New Roman"/>
                <w:bCs/>
                <w:color w:val="auto"/>
                <w:kern w:val="0"/>
                <w:sz w:val="21"/>
                <w:szCs w:val="21"/>
              </w:rPr>
              <w:t>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Merge w:val="continue"/>
            <w:vAlign w:val="center"/>
          </w:tcPr>
          <w:p>
            <w:pPr>
              <w:jc w:val="center"/>
              <w:rPr>
                <w:rFonts w:ascii="Times New Roman" w:hAnsi="Times New Roman" w:eastAsia="宋体" w:cs="Times New Roman"/>
                <w:color w:val="auto"/>
                <w:kern w:val="0"/>
                <w:sz w:val="21"/>
                <w:szCs w:val="21"/>
              </w:rPr>
            </w:pPr>
          </w:p>
        </w:tc>
        <w:tc>
          <w:tcPr>
            <w:tcW w:w="1417" w:type="dxa"/>
            <w:vMerge w:val="continue"/>
            <w:vAlign w:val="center"/>
          </w:tcPr>
          <w:p>
            <w:pPr>
              <w:jc w:val="center"/>
              <w:rPr>
                <w:rFonts w:ascii="Times New Roman" w:hAnsi="Times New Roman" w:eastAsia="宋体" w:cs="Times New Roman"/>
                <w:color w:val="auto"/>
                <w:kern w:val="0"/>
                <w:sz w:val="21"/>
                <w:szCs w:val="21"/>
              </w:rPr>
            </w:pPr>
          </w:p>
        </w:tc>
        <w:tc>
          <w:tcPr>
            <w:tcW w:w="1843" w:type="dxa"/>
            <w:vAlign w:val="center"/>
          </w:tcPr>
          <w:p>
            <w:pPr>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841-002-01</w:t>
            </w:r>
          </w:p>
        </w:tc>
        <w:tc>
          <w:tcPr>
            <w:tcW w:w="1963" w:type="dxa"/>
            <w:vAlign w:val="center"/>
          </w:tcPr>
          <w:p>
            <w:pPr>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损伤性废物</w:t>
            </w:r>
          </w:p>
        </w:tc>
        <w:tc>
          <w:tcPr>
            <w:tcW w:w="1660" w:type="dxa"/>
            <w:vAlign w:val="center"/>
          </w:tcPr>
          <w:p>
            <w:pPr>
              <w:jc w:val="center"/>
              <w:rPr>
                <w:rFonts w:ascii="Times New Roman" w:hAnsi="Times New Roman" w:eastAsia="宋体" w:cs="Times New Roman"/>
                <w:bCs/>
                <w:color w:val="auto"/>
                <w:kern w:val="0"/>
                <w:sz w:val="21"/>
                <w:szCs w:val="21"/>
              </w:rPr>
            </w:pPr>
            <w:r>
              <w:rPr>
                <w:rFonts w:ascii="Times New Roman" w:hAnsi="Times New Roman" w:eastAsia="宋体" w:cs="Times New Roman"/>
                <w:bCs/>
                <w:color w:val="auto"/>
                <w:kern w:val="0"/>
                <w:sz w:val="21"/>
                <w:szCs w:val="21"/>
              </w:rPr>
              <w:t>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Merge w:val="continue"/>
            <w:vAlign w:val="center"/>
          </w:tcPr>
          <w:p>
            <w:pPr>
              <w:jc w:val="center"/>
              <w:rPr>
                <w:rFonts w:ascii="Times New Roman" w:hAnsi="Times New Roman" w:eastAsia="宋体" w:cs="Times New Roman"/>
                <w:color w:val="auto"/>
                <w:kern w:val="0"/>
                <w:sz w:val="21"/>
                <w:szCs w:val="21"/>
              </w:rPr>
            </w:pPr>
          </w:p>
        </w:tc>
        <w:tc>
          <w:tcPr>
            <w:tcW w:w="1417" w:type="dxa"/>
            <w:vMerge w:val="continue"/>
            <w:vAlign w:val="center"/>
          </w:tcPr>
          <w:p>
            <w:pPr>
              <w:jc w:val="center"/>
              <w:rPr>
                <w:rFonts w:ascii="Times New Roman" w:hAnsi="Times New Roman" w:eastAsia="宋体" w:cs="Times New Roman"/>
                <w:color w:val="auto"/>
                <w:kern w:val="0"/>
                <w:sz w:val="21"/>
                <w:szCs w:val="21"/>
              </w:rPr>
            </w:pPr>
          </w:p>
        </w:tc>
        <w:tc>
          <w:tcPr>
            <w:tcW w:w="1843" w:type="dxa"/>
            <w:vAlign w:val="center"/>
          </w:tcPr>
          <w:p>
            <w:pPr>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841-003-01</w:t>
            </w:r>
          </w:p>
        </w:tc>
        <w:tc>
          <w:tcPr>
            <w:tcW w:w="1963" w:type="dxa"/>
            <w:vAlign w:val="center"/>
          </w:tcPr>
          <w:p>
            <w:pPr>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病理性废物</w:t>
            </w:r>
          </w:p>
        </w:tc>
        <w:tc>
          <w:tcPr>
            <w:tcW w:w="1660" w:type="dxa"/>
            <w:vAlign w:val="center"/>
          </w:tcPr>
          <w:p>
            <w:pPr>
              <w:jc w:val="center"/>
              <w:rPr>
                <w:rFonts w:ascii="Times New Roman" w:hAnsi="Times New Roman" w:eastAsia="宋体" w:cs="Times New Roman"/>
                <w:bCs/>
                <w:color w:val="auto"/>
                <w:kern w:val="0"/>
                <w:sz w:val="21"/>
                <w:szCs w:val="21"/>
              </w:rPr>
            </w:pPr>
            <w:r>
              <w:rPr>
                <w:rFonts w:ascii="Times New Roman" w:hAnsi="Times New Roman" w:eastAsia="宋体" w:cs="Times New Roman"/>
                <w:bCs/>
                <w:color w:val="auto"/>
                <w:kern w:val="0"/>
                <w:sz w:val="21"/>
                <w:szCs w:val="21"/>
              </w:rPr>
              <w:t>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Merge w:val="continue"/>
            <w:vAlign w:val="center"/>
          </w:tcPr>
          <w:p>
            <w:pPr>
              <w:jc w:val="center"/>
              <w:rPr>
                <w:rFonts w:ascii="Times New Roman" w:hAnsi="Times New Roman" w:eastAsia="宋体" w:cs="Times New Roman"/>
                <w:color w:val="auto"/>
                <w:kern w:val="0"/>
                <w:sz w:val="21"/>
                <w:szCs w:val="21"/>
              </w:rPr>
            </w:pPr>
          </w:p>
        </w:tc>
        <w:tc>
          <w:tcPr>
            <w:tcW w:w="1417" w:type="dxa"/>
            <w:vMerge w:val="continue"/>
            <w:vAlign w:val="center"/>
          </w:tcPr>
          <w:p>
            <w:pPr>
              <w:jc w:val="center"/>
              <w:rPr>
                <w:rFonts w:ascii="Times New Roman" w:hAnsi="Times New Roman" w:eastAsia="宋体" w:cs="Times New Roman"/>
                <w:color w:val="auto"/>
                <w:kern w:val="0"/>
                <w:sz w:val="21"/>
                <w:szCs w:val="21"/>
              </w:rPr>
            </w:pPr>
          </w:p>
        </w:tc>
        <w:tc>
          <w:tcPr>
            <w:tcW w:w="1843" w:type="dxa"/>
            <w:vAlign w:val="center"/>
          </w:tcPr>
          <w:p>
            <w:pPr>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841-004-01</w:t>
            </w:r>
          </w:p>
        </w:tc>
        <w:tc>
          <w:tcPr>
            <w:tcW w:w="1963" w:type="dxa"/>
            <w:vAlign w:val="center"/>
          </w:tcPr>
          <w:p>
            <w:pPr>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化学性废物</w:t>
            </w:r>
          </w:p>
        </w:tc>
        <w:tc>
          <w:tcPr>
            <w:tcW w:w="1660" w:type="dxa"/>
            <w:vAlign w:val="center"/>
          </w:tcPr>
          <w:p>
            <w:pPr>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T/C/I/R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Merge w:val="continue"/>
            <w:vAlign w:val="center"/>
          </w:tcPr>
          <w:p>
            <w:pPr>
              <w:jc w:val="center"/>
              <w:rPr>
                <w:rFonts w:ascii="Times New Roman" w:hAnsi="Times New Roman" w:eastAsia="宋体" w:cs="Times New Roman"/>
                <w:color w:val="auto"/>
                <w:kern w:val="0"/>
                <w:sz w:val="21"/>
                <w:szCs w:val="21"/>
              </w:rPr>
            </w:pPr>
          </w:p>
        </w:tc>
        <w:tc>
          <w:tcPr>
            <w:tcW w:w="1417" w:type="dxa"/>
            <w:vMerge w:val="continue"/>
            <w:vAlign w:val="center"/>
          </w:tcPr>
          <w:p>
            <w:pPr>
              <w:jc w:val="center"/>
              <w:rPr>
                <w:rFonts w:ascii="Times New Roman" w:hAnsi="Times New Roman" w:eastAsia="宋体" w:cs="Times New Roman"/>
                <w:color w:val="auto"/>
                <w:kern w:val="0"/>
                <w:sz w:val="21"/>
                <w:szCs w:val="21"/>
              </w:rPr>
            </w:pPr>
          </w:p>
        </w:tc>
        <w:tc>
          <w:tcPr>
            <w:tcW w:w="1843" w:type="dxa"/>
            <w:vAlign w:val="center"/>
          </w:tcPr>
          <w:p>
            <w:pPr>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841-005-01</w:t>
            </w:r>
          </w:p>
        </w:tc>
        <w:tc>
          <w:tcPr>
            <w:tcW w:w="1963" w:type="dxa"/>
            <w:vAlign w:val="center"/>
          </w:tcPr>
          <w:p>
            <w:pPr>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药物性废物</w:t>
            </w:r>
          </w:p>
        </w:tc>
        <w:tc>
          <w:tcPr>
            <w:tcW w:w="1660" w:type="dxa"/>
            <w:vAlign w:val="center"/>
          </w:tcPr>
          <w:p>
            <w:pPr>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T</w:t>
            </w:r>
          </w:p>
        </w:tc>
      </w:tr>
    </w:tbl>
    <w:p>
      <w:pPr>
        <w:pStyle w:val="32"/>
        <w:ind w:firstLine="480"/>
        <w:rPr>
          <w:color w:val="auto"/>
        </w:rPr>
      </w:pPr>
      <w:r>
        <w:rPr>
          <w:color w:val="auto"/>
        </w:rPr>
        <w:t>医疗废物中所携带的病菌数量大、种类多，且兼具空间性、交叉性和潜伏性等多重特征，如果对医疗垃圾没有进行适当的处理处置，则会对人类的生存环境造成极大的威胁</w:t>
      </w:r>
      <w:r>
        <w:rPr>
          <w:rFonts w:hint="eastAsia"/>
          <w:color w:val="auto"/>
        </w:rPr>
        <w:t>。如将未经消毒的医疗废物直接堆放或填埋，则侵占大量土地资源，有毒有害成分侵蚀渗入土壤后可能杀灭土著微生物，导致土壤丧失正常的腐解能力，对土壤生态环境造成较大程度的破坏；进入天然水体的医疗废物则会直接导致水质恶化、破坏水体生态平衡且难以恢复，对人类的饮用水安全造成极大威胁，有引发传染性疾病快速传播和蔓延的风险；处置不当的医疗废物对人体健康构成的直接危害和间接危害更是不容小觑。</w:t>
      </w:r>
    </w:p>
    <w:p>
      <w:pPr>
        <w:pStyle w:val="32"/>
        <w:ind w:firstLine="480"/>
        <w:rPr>
          <w:color w:val="auto"/>
        </w:rPr>
      </w:pPr>
      <w:r>
        <w:rPr>
          <w:rFonts w:hint="eastAsia"/>
          <w:color w:val="auto"/>
        </w:rPr>
        <w:t>通过对不同区域、不同规模医疗废物集中处置单位的调研及相关文献资料、报道的查阅可知，医疗废物中，感染性废物和损伤性废物占比例最大，</w:t>
      </w:r>
      <w:r>
        <w:rPr>
          <w:color w:val="auto"/>
        </w:rPr>
        <w:t>其中感染性废物占70-80%</w:t>
      </w:r>
      <w:r>
        <w:rPr>
          <w:rFonts w:hint="eastAsia"/>
          <w:color w:val="auto"/>
        </w:rPr>
        <w:t>，</w:t>
      </w:r>
      <w:r>
        <w:rPr>
          <w:color w:val="auto"/>
        </w:rPr>
        <w:t>损伤性废物占10-20%</w:t>
      </w:r>
      <w:r>
        <w:rPr>
          <w:rFonts w:hint="eastAsia"/>
          <w:color w:val="auto"/>
        </w:rPr>
        <w:t>，病理性、化学性和药物性废物占比约小于</w:t>
      </w:r>
      <w:r>
        <w:rPr>
          <w:color w:val="auto"/>
        </w:rPr>
        <w:t>3%</w:t>
      </w:r>
      <w:r>
        <w:rPr>
          <w:rFonts w:hint="eastAsia"/>
          <w:color w:val="auto"/>
        </w:rPr>
        <w:t>。因此，医疗废物危险特性的消除主要是指消除其感染性。针对药物性和化学性废物的处置，参照危险废物处置的相关要求。同时，我国医疗废物的平均密度约</w:t>
      </w:r>
      <w:r>
        <w:rPr>
          <w:color w:val="auto"/>
        </w:rPr>
        <w:t>120kg/m</w:t>
      </w:r>
      <w:r>
        <w:rPr>
          <w:color w:val="auto"/>
          <w:vertAlign w:val="superscript"/>
        </w:rPr>
        <w:t>3</w:t>
      </w:r>
      <w:r>
        <w:rPr>
          <w:color w:val="auto"/>
        </w:rPr>
        <w:t>-150 kg/m</w:t>
      </w:r>
      <w:r>
        <w:rPr>
          <w:color w:val="auto"/>
          <w:vertAlign w:val="superscript"/>
        </w:rPr>
        <w:t>3</w:t>
      </w:r>
      <w:r>
        <w:rPr>
          <w:rFonts w:hint="eastAsia"/>
          <w:color w:val="auto"/>
        </w:rPr>
        <w:t>，对处置技术的减容减量效果具有一定要求。</w:t>
      </w:r>
    </w:p>
    <w:p>
      <w:pPr>
        <w:pStyle w:val="3"/>
        <w:rPr>
          <w:rFonts w:cs="Times New Roman"/>
          <w:color w:val="auto"/>
        </w:rPr>
      </w:pPr>
      <w:bookmarkStart w:id="15" w:name="_Toc12962"/>
      <w:r>
        <w:rPr>
          <w:rFonts w:cs="Times New Roman"/>
          <w:color w:val="auto"/>
        </w:rPr>
        <w:t>医疗废物产生量和处置量</w:t>
      </w:r>
      <w:bookmarkEnd w:id="15"/>
    </w:p>
    <w:p>
      <w:pPr>
        <w:pStyle w:val="4"/>
        <w:rPr>
          <w:color w:val="auto"/>
        </w:rPr>
      </w:pPr>
      <w:bookmarkStart w:id="16" w:name="_Toc22206"/>
      <w:r>
        <w:rPr>
          <w:rFonts w:hint="eastAsia"/>
          <w:color w:val="auto"/>
        </w:rPr>
        <w:t>全国医疗废物产生及处置情况</w:t>
      </w:r>
      <w:bookmarkEnd w:id="16"/>
    </w:p>
    <w:p>
      <w:pPr>
        <w:pStyle w:val="32"/>
        <w:ind w:firstLine="480"/>
        <w:rPr>
          <w:color w:val="auto"/>
        </w:rPr>
      </w:pPr>
      <w:r>
        <w:rPr>
          <w:color w:val="auto"/>
        </w:rPr>
        <w:t>2020年12月发布的最新《2020年全国大、中城市固体废物污染环境防治年报》显示，2019年，196个大、中城市医疗废物产生量84.3万吨，产生的医疗废物都得到了及时妥善处置</w:t>
      </w:r>
      <w:r>
        <w:rPr>
          <w:rFonts w:hint="eastAsia"/>
          <w:color w:val="auto"/>
        </w:rPr>
        <w:t>；根据医疗废物许可证管理情况可知，</w:t>
      </w:r>
      <w:r>
        <w:rPr>
          <w:color w:val="auto"/>
        </w:rPr>
        <w:t>2019</w:t>
      </w:r>
      <w:r>
        <w:rPr>
          <w:rFonts w:hint="eastAsia"/>
          <w:color w:val="auto"/>
        </w:rPr>
        <w:t>年全国医疗废物持证单位实际处置量为</w:t>
      </w:r>
      <w:r>
        <w:rPr>
          <w:color w:val="auto"/>
        </w:rPr>
        <w:t>118</w:t>
      </w:r>
      <w:r>
        <w:rPr>
          <w:rFonts w:hint="eastAsia"/>
          <w:color w:val="auto"/>
        </w:rPr>
        <w:t>万吨。</w:t>
      </w:r>
    </w:p>
    <w:p>
      <w:pPr>
        <w:pStyle w:val="32"/>
        <w:ind w:firstLine="480"/>
        <w:rPr>
          <w:color w:val="auto"/>
        </w:rPr>
      </w:pPr>
      <w:r>
        <w:rPr>
          <w:color w:val="auto"/>
        </w:rPr>
        <w:t>2019</w:t>
      </w:r>
      <w:r>
        <w:rPr>
          <w:rFonts w:hint="eastAsia"/>
          <w:color w:val="auto"/>
        </w:rPr>
        <w:t>年</w:t>
      </w:r>
      <w:r>
        <w:rPr>
          <w:color w:val="auto"/>
        </w:rPr>
        <w:t>各省（区、市）大、中城市发布的医疗废物产生情况</w:t>
      </w:r>
      <w:r>
        <w:rPr>
          <w:rFonts w:hint="eastAsia"/>
          <w:color w:val="auto"/>
        </w:rPr>
        <w:t>如下图所示，</w:t>
      </w:r>
      <w:r>
        <w:rPr>
          <w:color w:val="auto"/>
        </w:rPr>
        <w:t>医疗废物产生量排在前三位的省是广东、四川、浙江。2009-2019年，重点城市及模范城市的医疗废物产生量及处置量</w:t>
      </w:r>
      <w:r>
        <w:rPr>
          <w:rFonts w:hint="eastAsia"/>
          <w:color w:val="auto"/>
        </w:rPr>
        <w:t>呈现持续增长态势</w:t>
      </w:r>
      <w:r>
        <w:rPr>
          <w:color w:val="auto"/>
        </w:rPr>
        <w:t>。根据统计数据，以大中城市为样本，2014-2019年</w:t>
      </w:r>
      <w:r>
        <w:rPr>
          <w:rFonts w:hint="eastAsia"/>
          <w:color w:val="auto"/>
        </w:rPr>
        <w:t>我国</w:t>
      </w:r>
      <w:r>
        <w:rPr>
          <w:color w:val="auto"/>
        </w:rPr>
        <w:t>医疗废物产生量复合增速为6.3%。</w:t>
      </w:r>
    </w:p>
    <w:p>
      <w:pPr>
        <w:spacing w:line="336" w:lineRule="auto"/>
        <w:jc w:val="center"/>
        <w:rPr>
          <w:rFonts w:ascii="Times New Roman" w:hAnsi="Times New Roman" w:eastAsia="宋体" w:cs="Times New Roman"/>
          <w:color w:val="auto"/>
          <w:kern w:val="0"/>
          <w:szCs w:val="21"/>
        </w:rPr>
      </w:pPr>
      <w:r>
        <w:rPr>
          <w:rFonts w:ascii="Times New Roman" w:hAnsi="Times New Roman" w:cs="Times New Roman"/>
          <w:color w:val="auto"/>
        </w:rPr>
        <w:drawing>
          <wp:inline distT="0" distB="0" distL="0" distR="0">
            <wp:extent cx="4714875" cy="2600325"/>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4778315" cy="2635418"/>
                    </a:xfrm>
                    <a:prstGeom prst="rect">
                      <a:avLst/>
                    </a:prstGeom>
                  </pic:spPr>
                </pic:pic>
              </a:graphicData>
            </a:graphic>
          </wp:inline>
        </w:drawing>
      </w:r>
    </w:p>
    <w:p>
      <w:pPr>
        <w:pStyle w:val="23"/>
        <w:numPr>
          <w:ilvl w:val="0"/>
          <w:numId w:val="4"/>
        </w:numPr>
        <w:spacing w:line="336" w:lineRule="auto"/>
        <w:ind w:firstLineChars="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2019年各省（区、市）医疗废物产生情况（单位：吨）</w:t>
      </w:r>
    </w:p>
    <w:p>
      <w:pPr>
        <w:spacing w:line="336" w:lineRule="auto"/>
        <w:jc w:val="center"/>
        <w:rPr>
          <w:rFonts w:ascii="Times New Roman" w:hAnsi="Times New Roman" w:eastAsia="宋体" w:cs="Times New Roman"/>
          <w:color w:val="auto"/>
          <w:kern w:val="0"/>
          <w:szCs w:val="21"/>
        </w:rPr>
      </w:pPr>
      <w:r>
        <w:rPr>
          <w:rFonts w:ascii="Times New Roman" w:hAnsi="Times New Roman" w:cs="Times New Roman"/>
          <w:color w:val="auto"/>
        </w:rPr>
        <w:drawing>
          <wp:inline distT="0" distB="0" distL="0" distR="0">
            <wp:extent cx="4775200" cy="2867025"/>
            <wp:effectExtent l="0" t="0" r="635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4834504" cy="2902451"/>
                    </a:xfrm>
                    <a:prstGeom prst="rect">
                      <a:avLst/>
                    </a:prstGeom>
                  </pic:spPr>
                </pic:pic>
              </a:graphicData>
            </a:graphic>
          </wp:inline>
        </w:drawing>
      </w:r>
    </w:p>
    <w:p>
      <w:pPr>
        <w:pStyle w:val="23"/>
        <w:numPr>
          <w:ilvl w:val="0"/>
          <w:numId w:val="4"/>
        </w:numPr>
        <w:spacing w:line="336" w:lineRule="auto"/>
        <w:ind w:firstLineChars="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2009-2019年重点城市及模范城市的医疗废物产生及处置情况（单位：万吨）</w:t>
      </w:r>
    </w:p>
    <w:p>
      <w:pPr>
        <w:pStyle w:val="32"/>
        <w:ind w:firstLine="480"/>
        <w:rPr>
          <w:color w:val="auto"/>
        </w:rPr>
      </w:pPr>
      <w:r>
        <w:rPr>
          <w:color w:val="auto"/>
        </w:rPr>
        <w:t>根据《2019年我国卫生健康事业发展统计公报》显示，2019年我国卫生机构床位达880.7万张，门诊部门诊疗人数87.2亿人次，据此预测住院部门产生医废225.0万吨，门诊部门产生医废26.2万吨，合计251.2万吨（按照住院部产生量0.7kg/（床·日）和门诊产生量0.03kg/（人·次）的医废产生比例），远远高于2019年的年报统计医废处置量84.3万吨</w:t>
      </w:r>
      <w:r>
        <w:rPr>
          <w:rFonts w:hint="eastAsia"/>
          <w:color w:val="auto"/>
        </w:rPr>
        <w:t>及医疗废物持证单位实际处置量</w:t>
      </w:r>
      <w:r>
        <w:rPr>
          <w:color w:val="auto"/>
        </w:rPr>
        <w:t>118</w:t>
      </w:r>
      <w:r>
        <w:rPr>
          <w:rFonts w:hint="eastAsia"/>
          <w:color w:val="auto"/>
        </w:rPr>
        <w:t>万吨</w:t>
      </w:r>
      <w:r>
        <w:rPr>
          <w:color w:val="auto"/>
        </w:rPr>
        <w:t>。目前全国有4个直辖市和293个地级市，而官方统计的是2019年全国196个大、中城市，仍有相当一部分城市未纳入统计范畴，</w:t>
      </w:r>
      <w:r>
        <w:rPr>
          <w:rFonts w:hint="eastAsia"/>
          <w:color w:val="auto"/>
        </w:rPr>
        <w:t>这些</w:t>
      </w:r>
      <w:r>
        <w:rPr>
          <w:color w:val="auto"/>
        </w:rPr>
        <w:t>区域的医废处置情况无明确官方统计数据；纳入统计的大部分省份，其目前医废处理量统计数据偏低；医废收运处置的服务覆盖面存在地域差异，大部分县镇等医疗机构医废并未纳入正规处置渠道。因此，我国医疗废物潜在产量巨大。</w:t>
      </w:r>
    </w:p>
    <w:p>
      <w:pPr>
        <w:pStyle w:val="32"/>
        <w:ind w:firstLine="480"/>
        <w:rPr>
          <w:color w:val="auto"/>
        </w:rPr>
      </w:pPr>
      <w:r>
        <w:rPr>
          <w:color w:val="auto"/>
        </w:rPr>
        <w:t>2020</w:t>
      </w:r>
      <w:r>
        <w:rPr>
          <w:rFonts w:hint="eastAsia"/>
          <w:color w:val="auto"/>
        </w:rPr>
        <w:t>年新冠病毒疫情的爆发迫切要求配套医废处置能力的提升。</w:t>
      </w:r>
      <w:r>
        <w:rPr>
          <w:color w:val="auto"/>
        </w:rPr>
        <w:t>医疗机构</w:t>
      </w:r>
      <w:r>
        <w:rPr>
          <w:rFonts w:hint="eastAsia"/>
          <w:color w:val="auto"/>
        </w:rPr>
        <w:t>短时间内产生大量医疗废物，</w:t>
      </w:r>
      <w:r>
        <w:rPr>
          <w:color w:val="auto"/>
        </w:rPr>
        <w:t>各类医学观察点隔离人员的生活垃圾亦需作为医废进行处置。根据生态环境部</w:t>
      </w:r>
      <w:r>
        <w:rPr>
          <w:rFonts w:hint="eastAsia"/>
          <w:color w:val="auto"/>
        </w:rPr>
        <w:t>统计</w:t>
      </w:r>
      <w:r>
        <w:rPr>
          <w:color w:val="auto"/>
        </w:rPr>
        <w:t>数据，截至2020年5月4日，湖北省处置能力从疫情前的180吨/天提高到658.4吨/天，增长265.8%</w:t>
      </w:r>
      <w:r>
        <w:rPr>
          <w:rFonts w:hint="eastAsia"/>
          <w:color w:val="auto"/>
        </w:rPr>
        <w:t>，</w:t>
      </w:r>
      <w:r>
        <w:rPr>
          <w:color w:val="auto"/>
        </w:rPr>
        <w:t>武汉市处置能力从疫情前的50.0吨/天提高到280.1吨/天，增长460.2%</w:t>
      </w:r>
      <w:r>
        <w:rPr>
          <w:rFonts w:hint="eastAsia"/>
          <w:color w:val="auto"/>
        </w:rPr>
        <w:t>；</w:t>
      </w:r>
      <w:r>
        <w:rPr>
          <w:color w:val="auto"/>
        </w:rPr>
        <w:t>截至2020年6月6日，全国医疗废物处置能力为6245.4吨/天，相比疫情前的4902.8吨/天，增加了1342.6吨/天，增长27%。</w:t>
      </w:r>
      <w:r>
        <w:rPr>
          <w:rFonts w:hint="eastAsia"/>
          <w:color w:val="auto"/>
        </w:rPr>
        <w:t>面对</w:t>
      </w:r>
      <w:r>
        <w:rPr>
          <w:color w:val="auto"/>
        </w:rPr>
        <w:t>此轮疫情可能趋于常态化</w:t>
      </w:r>
      <w:r>
        <w:rPr>
          <w:rFonts w:hint="eastAsia"/>
          <w:color w:val="auto"/>
        </w:rPr>
        <w:t>的发展，未来我国医疗废物的产生量在相当长的一段时间内仍将处于较高的水平。</w:t>
      </w:r>
    </w:p>
    <w:p>
      <w:pPr>
        <w:pStyle w:val="32"/>
        <w:ind w:firstLine="480"/>
        <w:rPr>
          <w:color w:val="auto"/>
        </w:rPr>
      </w:pPr>
      <w:r>
        <w:rPr>
          <w:rFonts w:hint="eastAsia"/>
          <w:color w:val="auto"/>
        </w:rPr>
        <w:t>除了医疗机构产生的医疗废物、疫情管控下各类隔离观察点产生的生活垃圾，常态化核酸检测产生的大量检测试剂废物以及医疗机构水处理设施产生的污泥，也需要参照医疗废物来进行管理和处置，因此整体的医疗废物处置需求较大。</w:t>
      </w:r>
    </w:p>
    <w:p>
      <w:pPr>
        <w:pStyle w:val="4"/>
        <w:rPr>
          <w:color w:val="auto"/>
        </w:rPr>
      </w:pPr>
      <w:bookmarkStart w:id="17" w:name="_Toc18850"/>
      <w:r>
        <w:rPr>
          <w:rFonts w:hint="eastAsia"/>
          <w:color w:val="auto"/>
        </w:rPr>
        <w:t>江苏省医疗废物产生及处置情况</w:t>
      </w:r>
      <w:bookmarkEnd w:id="17"/>
    </w:p>
    <w:p>
      <w:pPr>
        <w:pStyle w:val="32"/>
        <w:ind w:firstLine="480"/>
        <w:rPr>
          <w:color w:val="auto"/>
        </w:rPr>
      </w:pPr>
      <w:r>
        <w:rPr>
          <w:rFonts w:hint="eastAsia"/>
          <w:color w:val="auto"/>
        </w:rPr>
        <w:t>根据江苏省发布的2</w:t>
      </w:r>
      <w:r>
        <w:rPr>
          <w:color w:val="auto"/>
        </w:rPr>
        <w:t>021</w:t>
      </w:r>
      <w:r>
        <w:rPr>
          <w:rFonts w:hint="eastAsia"/>
          <w:color w:val="auto"/>
        </w:rPr>
        <w:t>年全省生态环境状况公报，2</w:t>
      </w:r>
      <w:r>
        <w:rPr>
          <w:color w:val="auto"/>
        </w:rPr>
        <w:t>021</w:t>
      </w:r>
      <w:r>
        <w:rPr>
          <w:rFonts w:hint="eastAsia"/>
          <w:color w:val="auto"/>
        </w:rPr>
        <w:t>年全省有2</w:t>
      </w:r>
      <w:r>
        <w:rPr>
          <w:color w:val="auto"/>
        </w:rPr>
        <w:t>9</w:t>
      </w:r>
      <w:r>
        <w:rPr>
          <w:rFonts w:hint="eastAsia"/>
          <w:color w:val="auto"/>
        </w:rPr>
        <w:t>家医疗废物处置单位，能够做到医疗废物1</w:t>
      </w:r>
      <w:r>
        <w:rPr>
          <w:color w:val="auto"/>
        </w:rPr>
        <w:t>00</w:t>
      </w:r>
      <w:r>
        <w:rPr>
          <w:rFonts w:hint="eastAsia"/>
          <w:color w:val="auto"/>
        </w:rPr>
        <w:t>%收运处置。根据2</w:t>
      </w:r>
      <w:r>
        <w:rPr>
          <w:color w:val="auto"/>
        </w:rPr>
        <w:t>021</w:t>
      </w:r>
      <w:r>
        <w:rPr>
          <w:rFonts w:hint="eastAsia"/>
          <w:color w:val="auto"/>
        </w:rPr>
        <w:t>年江苏省1</w:t>
      </w:r>
      <w:r>
        <w:rPr>
          <w:color w:val="auto"/>
        </w:rPr>
        <w:t>3</w:t>
      </w:r>
      <w:r>
        <w:rPr>
          <w:rFonts w:hint="eastAsia"/>
          <w:color w:val="auto"/>
        </w:rPr>
        <w:t>市发布的固体废物污染环境防治信息，各市及地区的医疗废物产生及处置量如下表所示：</w:t>
      </w:r>
    </w:p>
    <w:p>
      <w:pPr>
        <w:pStyle w:val="23"/>
        <w:numPr>
          <w:ilvl w:val="0"/>
          <w:numId w:val="3"/>
        </w:numPr>
        <w:spacing w:line="360" w:lineRule="auto"/>
        <w:ind w:firstLineChars="0"/>
        <w:jc w:val="center"/>
        <w:rPr>
          <w:rFonts w:ascii="Times New Roman" w:hAnsi="Times New Roman" w:eastAsia="宋体" w:cs="Times New Roman"/>
          <w:b/>
          <w:color w:val="auto"/>
          <w:szCs w:val="21"/>
        </w:rPr>
      </w:pPr>
      <w:r>
        <w:rPr>
          <w:rFonts w:hint="eastAsia" w:ascii="Times New Roman" w:hAnsi="Times New Roman" w:eastAsia="宋体" w:cs="Times New Roman"/>
          <w:b/>
          <w:color w:val="auto"/>
          <w:szCs w:val="21"/>
        </w:rPr>
        <w:t>江苏省1</w:t>
      </w:r>
      <w:r>
        <w:rPr>
          <w:rFonts w:ascii="Times New Roman" w:hAnsi="Times New Roman" w:eastAsia="宋体" w:cs="Times New Roman"/>
          <w:b/>
          <w:color w:val="auto"/>
          <w:szCs w:val="21"/>
        </w:rPr>
        <w:t>3</w:t>
      </w:r>
      <w:r>
        <w:rPr>
          <w:rFonts w:hint="eastAsia" w:ascii="Times New Roman" w:hAnsi="Times New Roman" w:eastAsia="宋体" w:cs="Times New Roman"/>
          <w:b/>
          <w:color w:val="auto"/>
          <w:szCs w:val="21"/>
        </w:rPr>
        <w:t>市医疗废物产生及处置情况（2</w:t>
      </w:r>
      <w:r>
        <w:rPr>
          <w:rFonts w:ascii="Times New Roman" w:hAnsi="Times New Roman" w:eastAsia="宋体" w:cs="Times New Roman"/>
          <w:b/>
          <w:color w:val="auto"/>
          <w:szCs w:val="21"/>
        </w:rPr>
        <w:t>021</w:t>
      </w:r>
      <w:r>
        <w:rPr>
          <w:rFonts w:hint="eastAsia" w:ascii="Times New Roman" w:hAnsi="Times New Roman" w:eastAsia="宋体" w:cs="Times New Roman"/>
          <w:b/>
          <w:color w:val="auto"/>
          <w:szCs w:val="21"/>
        </w:rPr>
        <w:t>年）</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7"/>
        <w:gridCol w:w="1334"/>
        <w:gridCol w:w="1668"/>
        <w:gridCol w:w="1693"/>
        <w:gridCol w:w="29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7" w:type="dxa"/>
            <w:vAlign w:val="center"/>
          </w:tcPr>
          <w:p>
            <w:pPr>
              <w:pStyle w:val="32"/>
              <w:spacing w:line="240" w:lineRule="auto"/>
              <w:ind w:firstLine="0" w:firstLineChars="0"/>
              <w:jc w:val="center"/>
              <w:rPr>
                <w:b/>
                <w:bCs/>
                <w:color w:val="auto"/>
                <w:kern w:val="0"/>
                <w:sz w:val="21"/>
                <w:szCs w:val="21"/>
              </w:rPr>
            </w:pPr>
            <w:r>
              <w:rPr>
                <w:rFonts w:hint="eastAsia"/>
                <w:b/>
                <w:bCs/>
                <w:color w:val="auto"/>
                <w:kern w:val="0"/>
                <w:sz w:val="21"/>
                <w:szCs w:val="21"/>
              </w:rPr>
              <w:t>序号</w:t>
            </w:r>
          </w:p>
        </w:tc>
        <w:tc>
          <w:tcPr>
            <w:tcW w:w="1334" w:type="dxa"/>
            <w:vAlign w:val="center"/>
          </w:tcPr>
          <w:p>
            <w:pPr>
              <w:pStyle w:val="32"/>
              <w:spacing w:line="240" w:lineRule="auto"/>
              <w:ind w:firstLine="0" w:firstLineChars="0"/>
              <w:jc w:val="center"/>
              <w:rPr>
                <w:b/>
                <w:bCs/>
                <w:color w:val="auto"/>
                <w:kern w:val="0"/>
                <w:sz w:val="21"/>
                <w:szCs w:val="21"/>
              </w:rPr>
            </w:pPr>
            <w:r>
              <w:rPr>
                <w:b/>
                <w:bCs/>
                <w:color w:val="auto"/>
                <w:kern w:val="0"/>
                <w:sz w:val="21"/>
                <w:szCs w:val="21"/>
              </w:rPr>
              <w:t>城市</w:t>
            </w:r>
          </w:p>
        </w:tc>
        <w:tc>
          <w:tcPr>
            <w:tcW w:w="1668" w:type="dxa"/>
            <w:vAlign w:val="center"/>
          </w:tcPr>
          <w:p>
            <w:pPr>
              <w:pStyle w:val="32"/>
              <w:spacing w:line="240" w:lineRule="auto"/>
              <w:ind w:firstLine="0" w:firstLineChars="0"/>
              <w:jc w:val="center"/>
              <w:rPr>
                <w:b/>
                <w:bCs/>
                <w:color w:val="auto"/>
                <w:kern w:val="0"/>
                <w:sz w:val="21"/>
                <w:szCs w:val="21"/>
              </w:rPr>
            </w:pPr>
            <w:r>
              <w:rPr>
                <w:b/>
                <w:bCs/>
                <w:color w:val="auto"/>
                <w:kern w:val="0"/>
                <w:sz w:val="21"/>
                <w:szCs w:val="21"/>
              </w:rPr>
              <w:t>医废</w:t>
            </w:r>
            <w:r>
              <w:rPr>
                <w:rFonts w:hint="eastAsia"/>
                <w:b/>
                <w:bCs/>
                <w:color w:val="auto"/>
                <w:kern w:val="0"/>
                <w:sz w:val="21"/>
                <w:szCs w:val="21"/>
              </w:rPr>
              <w:t>产生</w:t>
            </w:r>
            <w:r>
              <w:rPr>
                <w:b/>
                <w:bCs/>
                <w:color w:val="auto"/>
                <w:kern w:val="0"/>
                <w:sz w:val="21"/>
                <w:szCs w:val="21"/>
              </w:rPr>
              <w:t>及处置量（t/a）</w:t>
            </w:r>
          </w:p>
        </w:tc>
        <w:tc>
          <w:tcPr>
            <w:tcW w:w="1693" w:type="dxa"/>
            <w:vAlign w:val="center"/>
          </w:tcPr>
          <w:p>
            <w:pPr>
              <w:pStyle w:val="32"/>
              <w:spacing w:line="240" w:lineRule="auto"/>
              <w:ind w:firstLine="0" w:firstLineChars="0"/>
              <w:jc w:val="center"/>
              <w:rPr>
                <w:b/>
                <w:bCs/>
                <w:color w:val="auto"/>
                <w:kern w:val="0"/>
                <w:sz w:val="21"/>
                <w:szCs w:val="21"/>
              </w:rPr>
            </w:pPr>
            <w:r>
              <w:rPr>
                <w:rFonts w:hint="eastAsia"/>
                <w:b/>
                <w:bCs/>
                <w:color w:val="auto"/>
                <w:kern w:val="0"/>
                <w:sz w:val="21"/>
                <w:szCs w:val="21"/>
              </w:rPr>
              <w:t>许可证核准能力（t/a）</w:t>
            </w:r>
          </w:p>
        </w:tc>
        <w:tc>
          <w:tcPr>
            <w:tcW w:w="2914" w:type="dxa"/>
            <w:vAlign w:val="center"/>
          </w:tcPr>
          <w:p>
            <w:pPr>
              <w:pStyle w:val="32"/>
              <w:spacing w:line="240" w:lineRule="auto"/>
              <w:ind w:firstLine="0" w:firstLineChars="0"/>
              <w:jc w:val="center"/>
              <w:rPr>
                <w:b/>
                <w:bCs/>
                <w:color w:val="auto"/>
                <w:kern w:val="0"/>
                <w:sz w:val="21"/>
                <w:szCs w:val="21"/>
              </w:rPr>
            </w:pPr>
            <w:r>
              <w:rPr>
                <w:b/>
                <w:bCs/>
                <w:color w:val="auto"/>
                <w:kern w:val="0"/>
                <w:sz w:val="21"/>
                <w:szCs w:val="21"/>
              </w:rPr>
              <w:t>医废处置方式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7"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1</w:t>
            </w:r>
          </w:p>
        </w:tc>
        <w:tc>
          <w:tcPr>
            <w:tcW w:w="1334"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南京</w:t>
            </w:r>
          </w:p>
        </w:tc>
        <w:tc>
          <w:tcPr>
            <w:tcW w:w="1668"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2</w:t>
            </w:r>
            <w:r>
              <w:rPr>
                <w:color w:val="auto"/>
                <w:kern w:val="0"/>
                <w:sz w:val="21"/>
                <w:szCs w:val="21"/>
              </w:rPr>
              <w:t>4000</w:t>
            </w:r>
          </w:p>
        </w:tc>
        <w:tc>
          <w:tcPr>
            <w:tcW w:w="1693"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3</w:t>
            </w:r>
            <w:r>
              <w:rPr>
                <w:color w:val="auto"/>
                <w:kern w:val="0"/>
                <w:sz w:val="21"/>
                <w:szCs w:val="21"/>
              </w:rPr>
              <w:t>6000</w:t>
            </w:r>
          </w:p>
        </w:tc>
        <w:tc>
          <w:tcPr>
            <w:tcW w:w="2914"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高温焚烧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7"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2</w:t>
            </w:r>
          </w:p>
        </w:tc>
        <w:tc>
          <w:tcPr>
            <w:tcW w:w="1334"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苏州</w:t>
            </w:r>
          </w:p>
        </w:tc>
        <w:tc>
          <w:tcPr>
            <w:tcW w:w="1668"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1</w:t>
            </w:r>
            <w:r>
              <w:rPr>
                <w:color w:val="auto"/>
                <w:kern w:val="0"/>
                <w:sz w:val="21"/>
                <w:szCs w:val="21"/>
              </w:rPr>
              <w:t>8600</w:t>
            </w:r>
          </w:p>
        </w:tc>
        <w:tc>
          <w:tcPr>
            <w:tcW w:w="1693"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2</w:t>
            </w:r>
            <w:r>
              <w:rPr>
                <w:color w:val="auto"/>
                <w:kern w:val="0"/>
                <w:sz w:val="21"/>
                <w:szCs w:val="21"/>
              </w:rPr>
              <w:t>4440</w:t>
            </w:r>
          </w:p>
        </w:tc>
        <w:tc>
          <w:tcPr>
            <w:tcW w:w="2914"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焚烧处置/高温蒸煮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7"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3</w:t>
            </w:r>
          </w:p>
        </w:tc>
        <w:tc>
          <w:tcPr>
            <w:tcW w:w="1334"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无锡</w:t>
            </w:r>
          </w:p>
        </w:tc>
        <w:tc>
          <w:tcPr>
            <w:tcW w:w="1668"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1</w:t>
            </w:r>
            <w:r>
              <w:rPr>
                <w:color w:val="auto"/>
                <w:kern w:val="0"/>
                <w:sz w:val="21"/>
                <w:szCs w:val="21"/>
              </w:rPr>
              <w:t>0739.9</w:t>
            </w:r>
          </w:p>
        </w:tc>
        <w:tc>
          <w:tcPr>
            <w:tcW w:w="1693"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1</w:t>
            </w:r>
            <w:r>
              <w:rPr>
                <w:color w:val="auto"/>
                <w:kern w:val="0"/>
                <w:sz w:val="21"/>
                <w:szCs w:val="21"/>
              </w:rPr>
              <w:t>0300</w:t>
            </w:r>
          </w:p>
        </w:tc>
        <w:tc>
          <w:tcPr>
            <w:tcW w:w="2914"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高温蒸煮/焚烧处置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7"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4</w:t>
            </w:r>
          </w:p>
        </w:tc>
        <w:tc>
          <w:tcPr>
            <w:tcW w:w="1334"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常州</w:t>
            </w:r>
          </w:p>
        </w:tc>
        <w:tc>
          <w:tcPr>
            <w:tcW w:w="1668"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6</w:t>
            </w:r>
            <w:r>
              <w:rPr>
                <w:color w:val="auto"/>
                <w:kern w:val="0"/>
                <w:sz w:val="21"/>
                <w:szCs w:val="21"/>
              </w:rPr>
              <w:t>187.8</w:t>
            </w:r>
          </w:p>
        </w:tc>
        <w:tc>
          <w:tcPr>
            <w:tcW w:w="1693"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9</w:t>
            </w:r>
            <w:r>
              <w:rPr>
                <w:color w:val="auto"/>
                <w:kern w:val="0"/>
                <w:sz w:val="21"/>
                <w:szCs w:val="21"/>
              </w:rPr>
              <w:t>000</w:t>
            </w:r>
          </w:p>
        </w:tc>
        <w:tc>
          <w:tcPr>
            <w:tcW w:w="2914"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高温蒸煮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7"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5</w:t>
            </w:r>
          </w:p>
        </w:tc>
        <w:tc>
          <w:tcPr>
            <w:tcW w:w="1334"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镇江</w:t>
            </w:r>
          </w:p>
        </w:tc>
        <w:tc>
          <w:tcPr>
            <w:tcW w:w="1668"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3</w:t>
            </w:r>
            <w:r>
              <w:rPr>
                <w:color w:val="auto"/>
                <w:kern w:val="0"/>
                <w:sz w:val="21"/>
                <w:szCs w:val="21"/>
              </w:rPr>
              <w:t>337.3</w:t>
            </w:r>
          </w:p>
        </w:tc>
        <w:tc>
          <w:tcPr>
            <w:tcW w:w="1693"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3</w:t>
            </w:r>
            <w:r>
              <w:rPr>
                <w:color w:val="auto"/>
                <w:kern w:val="0"/>
                <w:sz w:val="21"/>
                <w:szCs w:val="21"/>
              </w:rPr>
              <w:t>380</w:t>
            </w:r>
          </w:p>
        </w:tc>
        <w:tc>
          <w:tcPr>
            <w:tcW w:w="2914"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高温蒸煮/焚烧处置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7"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6</w:t>
            </w:r>
          </w:p>
        </w:tc>
        <w:tc>
          <w:tcPr>
            <w:tcW w:w="1334"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南通</w:t>
            </w:r>
          </w:p>
        </w:tc>
        <w:tc>
          <w:tcPr>
            <w:tcW w:w="1668"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8</w:t>
            </w:r>
            <w:r>
              <w:rPr>
                <w:color w:val="auto"/>
                <w:kern w:val="0"/>
                <w:sz w:val="21"/>
                <w:szCs w:val="21"/>
              </w:rPr>
              <w:t>679</w:t>
            </w:r>
          </w:p>
        </w:tc>
        <w:tc>
          <w:tcPr>
            <w:tcW w:w="1693"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9</w:t>
            </w:r>
            <w:r>
              <w:rPr>
                <w:color w:val="auto"/>
                <w:kern w:val="0"/>
                <w:sz w:val="21"/>
                <w:szCs w:val="21"/>
              </w:rPr>
              <w:t>125</w:t>
            </w:r>
          </w:p>
        </w:tc>
        <w:tc>
          <w:tcPr>
            <w:tcW w:w="2914"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焚烧处置/高温蒸煮/微波消毒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7"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7</w:t>
            </w:r>
          </w:p>
        </w:tc>
        <w:tc>
          <w:tcPr>
            <w:tcW w:w="1334"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泰州</w:t>
            </w:r>
          </w:p>
        </w:tc>
        <w:tc>
          <w:tcPr>
            <w:tcW w:w="1668"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3</w:t>
            </w:r>
            <w:r>
              <w:rPr>
                <w:color w:val="auto"/>
                <w:kern w:val="0"/>
                <w:sz w:val="21"/>
                <w:szCs w:val="21"/>
              </w:rPr>
              <w:t>995.1</w:t>
            </w:r>
          </w:p>
        </w:tc>
        <w:tc>
          <w:tcPr>
            <w:tcW w:w="1693"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3</w:t>
            </w:r>
            <w:r>
              <w:rPr>
                <w:color w:val="auto"/>
                <w:kern w:val="0"/>
                <w:sz w:val="21"/>
                <w:szCs w:val="21"/>
              </w:rPr>
              <w:t>960</w:t>
            </w:r>
          </w:p>
        </w:tc>
        <w:tc>
          <w:tcPr>
            <w:tcW w:w="2914"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高温蒸煮/焚烧处置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7"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8</w:t>
            </w:r>
          </w:p>
        </w:tc>
        <w:tc>
          <w:tcPr>
            <w:tcW w:w="1334"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扬州</w:t>
            </w:r>
          </w:p>
        </w:tc>
        <w:tc>
          <w:tcPr>
            <w:tcW w:w="1668"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6</w:t>
            </w:r>
            <w:r>
              <w:rPr>
                <w:color w:val="auto"/>
                <w:kern w:val="0"/>
                <w:sz w:val="21"/>
                <w:szCs w:val="21"/>
              </w:rPr>
              <w:t>522</w:t>
            </w:r>
          </w:p>
        </w:tc>
        <w:tc>
          <w:tcPr>
            <w:tcW w:w="1693"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1</w:t>
            </w:r>
            <w:r>
              <w:rPr>
                <w:color w:val="auto"/>
                <w:kern w:val="0"/>
                <w:sz w:val="21"/>
                <w:szCs w:val="21"/>
              </w:rPr>
              <w:t>0500</w:t>
            </w:r>
          </w:p>
        </w:tc>
        <w:tc>
          <w:tcPr>
            <w:tcW w:w="2914"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高温蒸煮/焚烧处置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7"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9</w:t>
            </w:r>
          </w:p>
        </w:tc>
        <w:tc>
          <w:tcPr>
            <w:tcW w:w="1334"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徐州</w:t>
            </w:r>
          </w:p>
        </w:tc>
        <w:tc>
          <w:tcPr>
            <w:tcW w:w="1668"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7</w:t>
            </w:r>
            <w:r>
              <w:rPr>
                <w:color w:val="auto"/>
                <w:kern w:val="0"/>
                <w:sz w:val="21"/>
                <w:szCs w:val="21"/>
              </w:rPr>
              <w:t>805.6</w:t>
            </w:r>
          </w:p>
        </w:tc>
        <w:tc>
          <w:tcPr>
            <w:tcW w:w="1693"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8</w:t>
            </w:r>
            <w:r>
              <w:rPr>
                <w:color w:val="auto"/>
                <w:kern w:val="0"/>
                <w:sz w:val="21"/>
                <w:szCs w:val="21"/>
              </w:rPr>
              <w:t>030</w:t>
            </w:r>
          </w:p>
        </w:tc>
        <w:tc>
          <w:tcPr>
            <w:tcW w:w="2914"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高温蒸煮/焚烧处置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7"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1</w:t>
            </w:r>
            <w:r>
              <w:rPr>
                <w:color w:val="auto"/>
                <w:kern w:val="0"/>
                <w:sz w:val="21"/>
                <w:szCs w:val="21"/>
              </w:rPr>
              <w:t>0</w:t>
            </w:r>
          </w:p>
        </w:tc>
        <w:tc>
          <w:tcPr>
            <w:tcW w:w="1334"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盐城</w:t>
            </w:r>
          </w:p>
        </w:tc>
        <w:tc>
          <w:tcPr>
            <w:tcW w:w="1668"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5</w:t>
            </w:r>
            <w:r>
              <w:rPr>
                <w:color w:val="auto"/>
                <w:kern w:val="0"/>
                <w:sz w:val="21"/>
                <w:szCs w:val="21"/>
              </w:rPr>
              <w:t>800.6</w:t>
            </w:r>
          </w:p>
        </w:tc>
        <w:tc>
          <w:tcPr>
            <w:tcW w:w="1693"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7</w:t>
            </w:r>
            <w:r>
              <w:rPr>
                <w:color w:val="auto"/>
                <w:kern w:val="0"/>
                <w:sz w:val="21"/>
                <w:szCs w:val="21"/>
              </w:rPr>
              <w:t>500</w:t>
            </w:r>
          </w:p>
        </w:tc>
        <w:tc>
          <w:tcPr>
            <w:tcW w:w="2914"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焚烧处置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7"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1</w:t>
            </w:r>
            <w:r>
              <w:rPr>
                <w:color w:val="auto"/>
                <w:kern w:val="0"/>
                <w:sz w:val="21"/>
                <w:szCs w:val="21"/>
              </w:rPr>
              <w:t>1</w:t>
            </w:r>
          </w:p>
        </w:tc>
        <w:tc>
          <w:tcPr>
            <w:tcW w:w="1334"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连云港</w:t>
            </w:r>
          </w:p>
        </w:tc>
        <w:tc>
          <w:tcPr>
            <w:tcW w:w="1668"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3</w:t>
            </w:r>
            <w:r>
              <w:rPr>
                <w:color w:val="auto"/>
                <w:kern w:val="0"/>
                <w:sz w:val="21"/>
                <w:szCs w:val="21"/>
              </w:rPr>
              <w:t>809.5</w:t>
            </w:r>
          </w:p>
        </w:tc>
        <w:tc>
          <w:tcPr>
            <w:tcW w:w="1693"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5</w:t>
            </w:r>
            <w:r>
              <w:rPr>
                <w:color w:val="auto"/>
                <w:kern w:val="0"/>
                <w:sz w:val="21"/>
                <w:szCs w:val="21"/>
              </w:rPr>
              <w:t>280</w:t>
            </w:r>
          </w:p>
        </w:tc>
        <w:tc>
          <w:tcPr>
            <w:tcW w:w="2914"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高温蒸煮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7"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1</w:t>
            </w:r>
            <w:r>
              <w:rPr>
                <w:color w:val="auto"/>
                <w:kern w:val="0"/>
                <w:sz w:val="21"/>
                <w:szCs w:val="21"/>
              </w:rPr>
              <w:t>2</w:t>
            </w:r>
          </w:p>
        </w:tc>
        <w:tc>
          <w:tcPr>
            <w:tcW w:w="1334"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淮安</w:t>
            </w:r>
          </w:p>
        </w:tc>
        <w:tc>
          <w:tcPr>
            <w:tcW w:w="1668"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4</w:t>
            </w:r>
            <w:r>
              <w:rPr>
                <w:color w:val="auto"/>
                <w:kern w:val="0"/>
                <w:sz w:val="21"/>
                <w:szCs w:val="21"/>
              </w:rPr>
              <w:t>672.9</w:t>
            </w:r>
          </w:p>
        </w:tc>
        <w:tc>
          <w:tcPr>
            <w:tcW w:w="1693"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6</w:t>
            </w:r>
            <w:r>
              <w:rPr>
                <w:color w:val="auto"/>
                <w:kern w:val="0"/>
                <w:sz w:val="21"/>
                <w:szCs w:val="21"/>
              </w:rPr>
              <w:t>070</w:t>
            </w:r>
          </w:p>
        </w:tc>
        <w:tc>
          <w:tcPr>
            <w:tcW w:w="2914"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高温蒸煮/微波消毒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7"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1</w:t>
            </w:r>
            <w:r>
              <w:rPr>
                <w:color w:val="auto"/>
                <w:kern w:val="0"/>
                <w:sz w:val="21"/>
                <w:szCs w:val="21"/>
              </w:rPr>
              <w:t>3</w:t>
            </w:r>
          </w:p>
        </w:tc>
        <w:tc>
          <w:tcPr>
            <w:tcW w:w="1334"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宿迁</w:t>
            </w:r>
          </w:p>
        </w:tc>
        <w:tc>
          <w:tcPr>
            <w:tcW w:w="1668"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4</w:t>
            </w:r>
            <w:r>
              <w:rPr>
                <w:color w:val="auto"/>
                <w:kern w:val="0"/>
                <w:sz w:val="21"/>
                <w:szCs w:val="21"/>
              </w:rPr>
              <w:t>138.5</w:t>
            </w:r>
          </w:p>
        </w:tc>
        <w:tc>
          <w:tcPr>
            <w:tcW w:w="1693"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6</w:t>
            </w:r>
            <w:r>
              <w:rPr>
                <w:color w:val="auto"/>
                <w:kern w:val="0"/>
                <w:sz w:val="21"/>
                <w:szCs w:val="21"/>
              </w:rPr>
              <w:t>270</w:t>
            </w:r>
          </w:p>
        </w:tc>
        <w:tc>
          <w:tcPr>
            <w:tcW w:w="2914"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焚烧处置/微波消毒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21" w:type="dxa"/>
            <w:gridSpan w:val="2"/>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合计</w:t>
            </w:r>
          </w:p>
        </w:tc>
        <w:tc>
          <w:tcPr>
            <w:tcW w:w="1668"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1</w:t>
            </w:r>
            <w:r>
              <w:rPr>
                <w:color w:val="auto"/>
                <w:kern w:val="0"/>
                <w:sz w:val="21"/>
                <w:szCs w:val="21"/>
              </w:rPr>
              <w:t>08288.2</w:t>
            </w:r>
          </w:p>
        </w:tc>
        <w:tc>
          <w:tcPr>
            <w:tcW w:w="1693" w:type="dxa"/>
            <w:vAlign w:val="center"/>
          </w:tcPr>
          <w:p>
            <w:pPr>
              <w:pStyle w:val="32"/>
              <w:spacing w:line="240" w:lineRule="auto"/>
              <w:ind w:firstLine="0" w:firstLineChars="0"/>
              <w:jc w:val="center"/>
              <w:rPr>
                <w:b/>
                <w:bCs/>
                <w:color w:val="auto"/>
                <w:kern w:val="0"/>
                <w:sz w:val="21"/>
                <w:szCs w:val="21"/>
              </w:rPr>
            </w:pPr>
          </w:p>
        </w:tc>
        <w:tc>
          <w:tcPr>
            <w:tcW w:w="2914" w:type="dxa"/>
            <w:vAlign w:val="center"/>
          </w:tcPr>
          <w:p>
            <w:pPr>
              <w:pStyle w:val="32"/>
              <w:spacing w:line="240" w:lineRule="auto"/>
              <w:ind w:firstLine="0" w:firstLineChars="0"/>
              <w:jc w:val="center"/>
              <w:rPr>
                <w:color w:val="auto"/>
                <w:kern w:val="0"/>
                <w:sz w:val="21"/>
                <w:szCs w:val="21"/>
              </w:rPr>
            </w:pPr>
            <w:r>
              <w:rPr>
                <w:rFonts w:hint="eastAsia"/>
                <w:color w:val="auto"/>
                <w:kern w:val="0"/>
                <w:sz w:val="21"/>
                <w:szCs w:val="21"/>
              </w:rPr>
              <w:t>/</w:t>
            </w:r>
          </w:p>
        </w:tc>
      </w:tr>
    </w:tbl>
    <w:p>
      <w:pPr>
        <w:pStyle w:val="32"/>
        <w:ind w:firstLine="0" w:firstLineChars="0"/>
        <w:rPr>
          <w:color w:val="auto"/>
          <w:sz w:val="21"/>
          <w:szCs w:val="21"/>
        </w:rPr>
      </w:pPr>
      <w:r>
        <w:rPr>
          <w:rFonts w:hint="eastAsia"/>
          <w:color w:val="auto"/>
          <w:sz w:val="21"/>
          <w:szCs w:val="21"/>
        </w:rPr>
        <w:t>说明：表中信息来自各市环保部门发布的2</w:t>
      </w:r>
      <w:r>
        <w:rPr>
          <w:color w:val="auto"/>
          <w:sz w:val="21"/>
          <w:szCs w:val="21"/>
        </w:rPr>
        <w:t>021</w:t>
      </w:r>
      <w:r>
        <w:rPr>
          <w:rFonts w:hint="eastAsia"/>
          <w:color w:val="auto"/>
          <w:sz w:val="21"/>
          <w:szCs w:val="21"/>
        </w:rPr>
        <w:t>年固体废物污染环境防治信息公告（部分处置单位改扩建医疗废物处置生产线未纳入许可范围的，不在上述许可证核准能力统计中）。</w:t>
      </w:r>
    </w:p>
    <w:p>
      <w:pPr>
        <w:pStyle w:val="32"/>
        <w:ind w:firstLine="480"/>
        <w:rPr>
          <w:color w:val="auto"/>
        </w:rPr>
      </w:pPr>
      <w:r>
        <w:rPr>
          <w:rFonts w:hint="eastAsia"/>
          <w:color w:val="auto"/>
        </w:rPr>
        <w:t>结合江苏省人民政府发布的统计年鉴信息，2</w:t>
      </w:r>
      <w:r>
        <w:rPr>
          <w:color w:val="auto"/>
        </w:rPr>
        <w:t>021</w:t>
      </w:r>
      <w:r>
        <w:rPr>
          <w:rFonts w:hint="eastAsia"/>
          <w:color w:val="auto"/>
        </w:rPr>
        <w:t>年江苏省总计有各类医疗机构3</w:t>
      </w:r>
      <w:r>
        <w:rPr>
          <w:color w:val="auto"/>
        </w:rPr>
        <w:t>6448</w:t>
      </w:r>
      <w:r>
        <w:rPr>
          <w:rFonts w:hint="eastAsia"/>
          <w:color w:val="auto"/>
        </w:rPr>
        <w:t>家，床位数5</w:t>
      </w:r>
      <w:r>
        <w:rPr>
          <w:color w:val="auto"/>
        </w:rPr>
        <w:t>48560</w:t>
      </w:r>
      <w:r>
        <w:rPr>
          <w:rFonts w:hint="eastAsia"/>
          <w:color w:val="auto"/>
        </w:rPr>
        <w:t>张，卫生工作人员8</w:t>
      </w:r>
      <w:r>
        <w:rPr>
          <w:color w:val="auto"/>
        </w:rPr>
        <w:t>53430</w:t>
      </w:r>
      <w:r>
        <w:rPr>
          <w:rFonts w:hint="eastAsia"/>
          <w:color w:val="auto"/>
        </w:rPr>
        <w:t>人，其中包括医院2</w:t>
      </w:r>
      <w:r>
        <w:rPr>
          <w:color w:val="auto"/>
        </w:rPr>
        <w:t>030</w:t>
      </w:r>
      <w:r>
        <w:rPr>
          <w:rFonts w:hint="eastAsia"/>
          <w:color w:val="auto"/>
        </w:rPr>
        <w:t>家含床位4</w:t>
      </w:r>
      <w:r>
        <w:rPr>
          <w:color w:val="auto"/>
        </w:rPr>
        <w:t>29886</w:t>
      </w:r>
      <w:r>
        <w:rPr>
          <w:rFonts w:hint="eastAsia"/>
          <w:color w:val="auto"/>
        </w:rPr>
        <w:t>张、基层医疗卫生机构3</w:t>
      </w:r>
      <w:r>
        <w:rPr>
          <w:color w:val="auto"/>
        </w:rPr>
        <w:t>3387</w:t>
      </w:r>
      <w:r>
        <w:rPr>
          <w:rFonts w:hint="eastAsia"/>
          <w:color w:val="auto"/>
        </w:rPr>
        <w:t>家含床位1</w:t>
      </w:r>
      <w:r>
        <w:rPr>
          <w:color w:val="auto"/>
        </w:rPr>
        <w:t>05201</w:t>
      </w:r>
      <w:r>
        <w:rPr>
          <w:rFonts w:hint="eastAsia"/>
          <w:color w:val="auto"/>
        </w:rPr>
        <w:t>张、专业公共卫生机构6</w:t>
      </w:r>
      <w:r>
        <w:rPr>
          <w:color w:val="auto"/>
        </w:rPr>
        <w:t>19</w:t>
      </w:r>
      <w:r>
        <w:rPr>
          <w:rFonts w:hint="eastAsia"/>
          <w:color w:val="auto"/>
        </w:rPr>
        <w:t>家含床位1</w:t>
      </w:r>
      <w:r>
        <w:rPr>
          <w:color w:val="auto"/>
        </w:rPr>
        <w:t>1520</w:t>
      </w:r>
      <w:r>
        <w:rPr>
          <w:rFonts w:hint="eastAsia"/>
          <w:color w:val="auto"/>
        </w:rPr>
        <w:t>张，以及其他卫生机构4</w:t>
      </w:r>
      <w:r>
        <w:rPr>
          <w:color w:val="auto"/>
        </w:rPr>
        <w:t>12</w:t>
      </w:r>
      <w:r>
        <w:rPr>
          <w:rFonts w:hint="eastAsia"/>
          <w:color w:val="auto"/>
        </w:rPr>
        <w:t>家含床位1</w:t>
      </w:r>
      <w:r>
        <w:rPr>
          <w:color w:val="auto"/>
        </w:rPr>
        <w:t>953</w:t>
      </w:r>
      <w:r>
        <w:rPr>
          <w:rFonts w:hint="eastAsia"/>
          <w:color w:val="auto"/>
        </w:rPr>
        <w:t>张；综合病床使用率达7</w:t>
      </w:r>
      <w:r>
        <w:rPr>
          <w:color w:val="auto"/>
        </w:rPr>
        <w:t>1.91</w:t>
      </w:r>
      <w:r>
        <w:rPr>
          <w:rFonts w:hint="eastAsia"/>
          <w:color w:val="auto"/>
        </w:rPr>
        <w:t>%、入院人数达1</w:t>
      </w:r>
      <w:r>
        <w:rPr>
          <w:color w:val="auto"/>
        </w:rPr>
        <w:t>415.7</w:t>
      </w:r>
      <w:r>
        <w:rPr>
          <w:rFonts w:hint="eastAsia"/>
          <w:color w:val="auto"/>
        </w:rPr>
        <w:t>万人。随着国家及地方医疗卫生事业的发展、医疗卫生水平的提高、居民健康疾病意识的提高，以及人口老龄化带来的潜在影响，医疗废物的产生量及处置需求将越来越大，因此规范化医疗废物处置单位及处置技术非常有必要。</w:t>
      </w:r>
    </w:p>
    <w:p>
      <w:pPr>
        <w:pStyle w:val="23"/>
        <w:numPr>
          <w:ilvl w:val="0"/>
          <w:numId w:val="3"/>
        </w:numPr>
        <w:spacing w:line="360" w:lineRule="auto"/>
        <w:ind w:firstLineChars="0"/>
        <w:jc w:val="center"/>
        <w:rPr>
          <w:rFonts w:ascii="Times New Roman" w:hAnsi="Times New Roman" w:eastAsia="宋体" w:cs="Times New Roman"/>
          <w:b/>
          <w:color w:val="auto"/>
          <w:szCs w:val="21"/>
        </w:rPr>
      </w:pPr>
      <w:r>
        <w:rPr>
          <w:rFonts w:hint="eastAsia" w:ascii="Times New Roman" w:hAnsi="Times New Roman" w:eastAsia="宋体" w:cs="Times New Roman"/>
          <w:b/>
          <w:color w:val="auto"/>
          <w:szCs w:val="21"/>
        </w:rPr>
        <w:t>江苏省</w:t>
      </w:r>
      <w:r>
        <w:rPr>
          <w:rFonts w:ascii="Times New Roman" w:hAnsi="Times New Roman" w:eastAsia="宋体" w:cs="Times New Roman"/>
          <w:b/>
          <w:color w:val="auto"/>
          <w:szCs w:val="21"/>
        </w:rPr>
        <w:t>2021</w:t>
      </w:r>
      <w:r>
        <w:rPr>
          <w:rFonts w:hint="eastAsia" w:ascii="Times New Roman" w:hAnsi="Times New Roman" w:eastAsia="宋体" w:cs="Times New Roman"/>
          <w:b/>
          <w:color w:val="auto"/>
          <w:szCs w:val="21"/>
        </w:rPr>
        <w:t>年卫生事业基本情况</w:t>
      </w:r>
    </w:p>
    <w:p>
      <w:pPr>
        <w:pStyle w:val="32"/>
        <w:ind w:firstLine="0" w:firstLineChars="0"/>
        <w:rPr>
          <w:color w:val="auto"/>
        </w:rPr>
      </w:pPr>
    </w:p>
    <w:p>
      <w:pPr>
        <w:pStyle w:val="32"/>
        <w:ind w:firstLine="0" w:firstLineChars="0"/>
        <w:jc w:val="center"/>
        <w:rPr>
          <w:color w:val="auto"/>
        </w:rPr>
      </w:pPr>
      <w:r>
        <w:rPr>
          <w:color w:val="auto"/>
        </w:rPr>
        <w:drawing>
          <wp:inline distT="0" distB="0" distL="0" distR="0">
            <wp:extent cx="5273675" cy="5114925"/>
            <wp:effectExtent l="0" t="0" r="317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9"/>
                    <a:srcRect t="8909"/>
                    <a:stretch>
                      <a:fillRect/>
                    </a:stretch>
                  </pic:blipFill>
                  <pic:spPr>
                    <a:xfrm>
                      <a:off x="0" y="0"/>
                      <a:ext cx="5274310" cy="5115603"/>
                    </a:xfrm>
                    <a:prstGeom prst="rect">
                      <a:avLst/>
                    </a:prstGeom>
                    <a:ln>
                      <a:noFill/>
                    </a:ln>
                  </pic:spPr>
                </pic:pic>
              </a:graphicData>
            </a:graphic>
          </wp:inline>
        </w:drawing>
      </w:r>
    </w:p>
    <w:p>
      <w:pPr>
        <w:pStyle w:val="23"/>
        <w:numPr>
          <w:ilvl w:val="0"/>
          <w:numId w:val="3"/>
        </w:numPr>
        <w:spacing w:line="360" w:lineRule="auto"/>
        <w:ind w:firstLineChars="0"/>
        <w:jc w:val="center"/>
        <w:rPr>
          <w:rFonts w:ascii="Times New Roman" w:hAnsi="Times New Roman" w:eastAsia="宋体" w:cs="Times New Roman"/>
          <w:b/>
          <w:color w:val="auto"/>
          <w:szCs w:val="21"/>
        </w:rPr>
      </w:pPr>
      <w:r>
        <w:rPr>
          <w:rFonts w:hint="eastAsia" w:ascii="Times New Roman" w:hAnsi="Times New Roman" w:eastAsia="宋体" w:cs="Times New Roman"/>
          <w:b/>
          <w:color w:val="auto"/>
          <w:szCs w:val="21"/>
        </w:rPr>
        <w:t>江苏省</w:t>
      </w:r>
      <w:r>
        <w:rPr>
          <w:rFonts w:ascii="Times New Roman" w:hAnsi="Times New Roman" w:eastAsia="宋体" w:cs="Times New Roman"/>
          <w:b/>
          <w:color w:val="auto"/>
          <w:szCs w:val="21"/>
        </w:rPr>
        <w:t>2021</w:t>
      </w:r>
      <w:r>
        <w:rPr>
          <w:rFonts w:hint="eastAsia" w:ascii="Times New Roman" w:hAnsi="Times New Roman" w:eastAsia="宋体" w:cs="Times New Roman"/>
          <w:b/>
          <w:color w:val="auto"/>
          <w:szCs w:val="21"/>
        </w:rPr>
        <w:t>年医疗机构住院服务、病床使用情况</w:t>
      </w:r>
    </w:p>
    <w:p>
      <w:pPr>
        <w:pStyle w:val="32"/>
        <w:ind w:firstLine="0" w:firstLineChars="0"/>
        <w:jc w:val="center"/>
        <w:rPr>
          <w:color w:val="auto"/>
        </w:rPr>
      </w:pPr>
      <w:r>
        <w:rPr>
          <w:color w:val="auto"/>
        </w:rPr>
        <w:drawing>
          <wp:inline distT="0" distB="0" distL="0" distR="0">
            <wp:extent cx="5400040" cy="242316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0"/>
                    <a:srcRect t="12463"/>
                    <a:stretch>
                      <a:fillRect/>
                    </a:stretch>
                  </pic:blipFill>
                  <pic:spPr>
                    <a:xfrm>
                      <a:off x="0" y="0"/>
                      <a:ext cx="5407273" cy="2426514"/>
                    </a:xfrm>
                    <a:prstGeom prst="rect">
                      <a:avLst/>
                    </a:prstGeom>
                    <a:ln>
                      <a:noFill/>
                    </a:ln>
                  </pic:spPr>
                </pic:pic>
              </a:graphicData>
            </a:graphic>
          </wp:inline>
        </w:drawing>
      </w:r>
    </w:p>
    <w:p>
      <w:pPr>
        <w:pStyle w:val="3"/>
        <w:rPr>
          <w:rFonts w:cs="Times New Roman"/>
          <w:color w:val="auto"/>
        </w:rPr>
      </w:pPr>
      <w:bookmarkStart w:id="18" w:name="_Toc21124"/>
      <w:r>
        <w:rPr>
          <w:rFonts w:cs="Times New Roman"/>
          <w:color w:val="auto"/>
        </w:rPr>
        <w:t>医疗废物处置技术</w:t>
      </w:r>
      <w:bookmarkEnd w:id="18"/>
    </w:p>
    <w:p>
      <w:pPr>
        <w:pStyle w:val="32"/>
        <w:ind w:firstLine="480"/>
        <w:rPr>
          <w:color w:val="auto"/>
          <w:lang w:val="zh-CN"/>
        </w:rPr>
      </w:pPr>
      <w:r>
        <w:rPr>
          <w:color w:val="auto"/>
          <w:lang w:val="zh-CN"/>
        </w:rPr>
        <w:t>目前我国医疗废物处理处置技术主要有热解气化焚烧技术、高温焚烧技术、等离子体处置技术、高温蒸汽</w:t>
      </w:r>
      <w:r>
        <w:rPr>
          <w:rFonts w:hint="eastAsia"/>
          <w:color w:val="auto"/>
          <w:lang w:val="zh-CN"/>
        </w:rPr>
        <w:t>消毒</w:t>
      </w:r>
      <w:r>
        <w:rPr>
          <w:color w:val="auto"/>
          <w:lang w:val="zh-CN"/>
        </w:rPr>
        <w:t>技术、化学消毒技术和微波消毒技术等</w:t>
      </w:r>
      <w:r>
        <w:rPr>
          <w:rFonts w:hint="eastAsia"/>
          <w:color w:val="auto"/>
          <w:lang w:val="zh-CN"/>
        </w:rPr>
        <w:t>，</w:t>
      </w:r>
      <w:r>
        <w:rPr>
          <w:color w:val="auto"/>
          <w:lang w:val="zh-CN"/>
        </w:rPr>
        <w:t>根据处理温度不同可分为低温处置技术</w:t>
      </w:r>
      <w:r>
        <w:rPr>
          <w:rFonts w:hint="eastAsia"/>
          <w:color w:val="auto"/>
          <w:lang w:val="zh-CN"/>
        </w:rPr>
        <w:t>和</w:t>
      </w:r>
      <w:r>
        <w:rPr>
          <w:color w:val="auto"/>
          <w:lang w:val="zh-CN"/>
        </w:rPr>
        <w:t>高温热处置技术</w:t>
      </w:r>
      <w:r>
        <w:rPr>
          <w:rFonts w:hint="eastAsia"/>
          <w:color w:val="auto"/>
          <w:lang w:val="zh-CN"/>
        </w:rPr>
        <w:t>，</w:t>
      </w:r>
      <w:r>
        <w:rPr>
          <w:color w:val="auto"/>
          <w:lang w:val="zh-CN"/>
        </w:rPr>
        <w:t>按照工作原理通常分为焚烧技术和非焚烧技术。焚烧技术</w:t>
      </w:r>
      <w:r>
        <w:rPr>
          <w:rFonts w:hint="eastAsia"/>
          <w:color w:val="auto"/>
          <w:lang w:val="zh-CN"/>
        </w:rPr>
        <w:t>采用高温热处理方式</w:t>
      </w:r>
      <w:r>
        <w:rPr>
          <w:color w:val="auto"/>
          <w:lang w:val="zh-CN"/>
        </w:rPr>
        <w:t>，如热解气化技术、高温焚烧技术</w:t>
      </w:r>
      <w:r>
        <w:rPr>
          <w:rFonts w:hint="eastAsia"/>
          <w:color w:val="auto"/>
          <w:lang w:val="zh-CN"/>
        </w:rPr>
        <w:t>、等离子体处置技术等</w:t>
      </w:r>
      <w:r>
        <w:rPr>
          <w:color w:val="auto"/>
          <w:lang w:val="zh-CN"/>
        </w:rPr>
        <w:t>；非焚烧技术包括</w:t>
      </w:r>
      <w:r>
        <w:rPr>
          <w:rFonts w:hint="eastAsia"/>
          <w:color w:val="auto"/>
          <w:lang w:val="zh-CN"/>
        </w:rPr>
        <w:t>高温蒸汽消毒技术、化学消毒技术、微波消毒技术等</w:t>
      </w:r>
      <w:r>
        <w:rPr>
          <w:color w:val="auto"/>
          <w:lang w:val="zh-CN"/>
        </w:rPr>
        <w:t>低温处理技术等。</w:t>
      </w:r>
    </w:p>
    <w:p>
      <w:pPr>
        <w:pStyle w:val="4"/>
        <w:rPr>
          <w:color w:val="auto"/>
          <w:lang w:val="zh-CN"/>
        </w:rPr>
      </w:pPr>
      <w:bookmarkStart w:id="19" w:name="_Toc21924"/>
      <w:r>
        <w:rPr>
          <w:color w:val="auto"/>
          <w:lang w:val="zh-CN"/>
        </w:rPr>
        <w:t>医疗废物低温无害化处理技术</w:t>
      </w:r>
      <w:bookmarkEnd w:id="19"/>
    </w:p>
    <w:p>
      <w:pPr>
        <w:pStyle w:val="32"/>
        <w:ind w:firstLine="480"/>
        <w:rPr>
          <w:color w:val="auto"/>
          <w:lang w:val="zh-CN"/>
        </w:rPr>
      </w:pPr>
      <w:r>
        <w:rPr>
          <w:rFonts w:hint="eastAsia"/>
          <w:color w:val="auto"/>
          <w:lang w:val="zh-CN"/>
        </w:rPr>
        <w:t>我国于</w:t>
      </w:r>
      <w:r>
        <w:rPr>
          <w:color w:val="auto"/>
          <w:lang w:val="zh-CN"/>
        </w:rPr>
        <w:t>2021</w:t>
      </w:r>
      <w:r>
        <w:rPr>
          <w:rFonts w:hint="eastAsia"/>
          <w:color w:val="auto"/>
          <w:lang w:val="zh-CN"/>
        </w:rPr>
        <w:t>年</w:t>
      </w:r>
      <w:r>
        <w:rPr>
          <w:color w:val="auto"/>
          <w:lang w:val="zh-CN"/>
        </w:rPr>
        <w:t>7</w:t>
      </w:r>
      <w:r>
        <w:rPr>
          <w:rFonts w:hint="eastAsia"/>
          <w:color w:val="auto"/>
          <w:lang w:val="zh-CN"/>
        </w:rPr>
        <w:t>月</w:t>
      </w:r>
      <w:r>
        <w:rPr>
          <w:color w:val="auto"/>
          <w:lang w:val="zh-CN"/>
        </w:rPr>
        <w:t>1</w:t>
      </w:r>
      <w:r>
        <w:rPr>
          <w:rFonts w:hint="eastAsia"/>
          <w:color w:val="auto"/>
          <w:lang w:val="zh-CN"/>
        </w:rPr>
        <w:t>日正式实施的《医疗废物处理处置污染控制标准》</w:t>
      </w:r>
      <w:r>
        <w:rPr>
          <w:color w:val="auto"/>
          <w:lang w:val="zh-CN"/>
        </w:rPr>
        <w:t>GB 39707</w:t>
      </w:r>
      <w:r>
        <w:rPr>
          <w:rFonts w:hint="eastAsia"/>
          <w:color w:val="auto"/>
          <w:lang w:val="zh-CN"/>
        </w:rPr>
        <w:t>中，定义了“消毒处理”的概念，即“杀灭或消除医疗废物中的病原微生物，使其消除潜在的感染性危害的过程。消毒技术主要包括高温蒸汽消毒、化学消毒、微波消毒、高温干热消毒等。”</w:t>
      </w:r>
    </w:p>
    <w:p>
      <w:pPr>
        <w:pStyle w:val="23"/>
        <w:numPr>
          <w:ilvl w:val="0"/>
          <w:numId w:val="5"/>
        </w:numPr>
        <w:spacing w:line="336" w:lineRule="auto"/>
        <w:ind w:firstLineChars="0"/>
        <w:rPr>
          <w:rFonts w:ascii="Times New Roman" w:hAnsi="Times New Roman" w:eastAsia="宋体" w:cs="Times New Roman"/>
          <w:color w:val="auto"/>
          <w:kern w:val="0"/>
          <w:sz w:val="24"/>
          <w:szCs w:val="24"/>
          <w:lang w:val="zh-CN"/>
        </w:rPr>
      </w:pPr>
      <w:r>
        <w:rPr>
          <w:rFonts w:ascii="Times New Roman" w:hAnsi="Times New Roman" w:eastAsia="宋体" w:cs="Times New Roman"/>
          <w:color w:val="auto"/>
          <w:kern w:val="0"/>
          <w:sz w:val="24"/>
          <w:szCs w:val="24"/>
          <w:lang w:val="zh-CN"/>
        </w:rPr>
        <w:t>高温蒸汽</w:t>
      </w:r>
      <w:r>
        <w:rPr>
          <w:rFonts w:hint="eastAsia" w:ascii="Times New Roman" w:hAnsi="Times New Roman" w:eastAsia="宋体" w:cs="Times New Roman"/>
          <w:color w:val="auto"/>
          <w:kern w:val="0"/>
          <w:sz w:val="24"/>
          <w:szCs w:val="24"/>
          <w:lang w:val="zh-CN"/>
        </w:rPr>
        <w:t>消毒</w:t>
      </w:r>
    </w:p>
    <w:p>
      <w:pPr>
        <w:pStyle w:val="32"/>
        <w:ind w:firstLine="480"/>
        <w:rPr>
          <w:color w:val="auto"/>
          <w:lang w:val="zh-CN"/>
        </w:rPr>
      </w:pPr>
      <w:r>
        <w:rPr>
          <w:color w:val="auto"/>
          <w:lang w:val="zh-CN"/>
        </w:rPr>
        <w:t>高温蒸汽处理技术的基本原理是将医疗废物装载于容器内，使其暴露于高温蒸汽氛围中并停留一定时间，在此期间利用水蒸汽释放出的潜热，使医疗废物中的致病微生物发生蛋白质变性和凝固，使致病微生物死亡，从而消除医疗废物的生物危害性，达到无害化处置的目的。</w:t>
      </w:r>
      <w:r>
        <w:rPr>
          <w:rFonts w:hint="eastAsia"/>
          <w:color w:val="auto"/>
          <w:lang w:val="zh-CN"/>
        </w:rPr>
        <w:t>其处理过程主要包括进料、蒸汽供给、消毒、排气、干燥、破碎等环节，产生</w:t>
      </w:r>
      <w:r>
        <w:rPr>
          <w:color w:val="auto"/>
          <w:lang w:val="zh-CN"/>
        </w:rPr>
        <w:t>VOCs</w:t>
      </w:r>
      <w:r>
        <w:rPr>
          <w:rFonts w:hint="eastAsia"/>
          <w:color w:val="auto"/>
          <w:lang w:val="zh-CN"/>
        </w:rPr>
        <w:t>、恶臭气体，冷凝废液、医疗废物残渣等。</w:t>
      </w:r>
    </w:p>
    <w:p>
      <w:pPr>
        <w:pStyle w:val="23"/>
        <w:numPr>
          <w:ilvl w:val="0"/>
          <w:numId w:val="5"/>
        </w:numPr>
        <w:spacing w:line="336" w:lineRule="auto"/>
        <w:ind w:firstLineChars="0"/>
        <w:rPr>
          <w:rFonts w:ascii="Times New Roman" w:hAnsi="Times New Roman" w:eastAsia="宋体" w:cs="Times New Roman"/>
          <w:color w:val="auto"/>
          <w:kern w:val="0"/>
          <w:sz w:val="24"/>
          <w:szCs w:val="24"/>
          <w:lang w:val="zh-CN"/>
        </w:rPr>
      </w:pPr>
      <w:r>
        <w:rPr>
          <w:rFonts w:hint="eastAsia" w:ascii="Times New Roman" w:hAnsi="Times New Roman" w:eastAsia="宋体" w:cs="Times New Roman"/>
          <w:color w:val="auto"/>
          <w:kern w:val="0"/>
          <w:sz w:val="24"/>
          <w:szCs w:val="24"/>
          <w:lang w:val="zh-CN"/>
        </w:rPr>
        <w:t>化学消毒</w:t>
      </w:r>
    </w:p>
    <w:p>
      <w:pPr>
        <w:pStyle w:val="32"/>
        <w:ind w:firstLine="480"/>
        <w:rPr>
          <w:color w:val="auto"/>
          <w:lang w:val="zh-CN"/>
        </w:rPr>
      </w:pPr>
      <w:r>
        <w:rPr>
          <w:color w:val="auto"/>
          <w:lang w:val="zh-CN"/>
        </w:rPr>
        <w:t>医疗废物化学消毒处理技术是将破碎后的医疗废物与化学消毒剂混合均匀，并停留足够的时间，在消毒过程中有机物质被分解、传染性病菌被杀灭或失活。医疗废物化学消毒处理一般包括进料、药剂供应、化学消毒、破碎、出料等工艺单元。医疗废物化学消毒处理破碎过程中产生噪声、恶臭、粉尘等；化学消毒过程中产生的恶臭、VOCs等。</w:t>
      </w:r>
    </w:p>
    <w:p>
      <w:pPr>
        <w:pStyle w:val="23"/>
        <w:numPr>
          <w:ilvl w:val="0"/>
          <w:numId w:val="5"/>
        </w:numPr>
        <w:spacing w:line="336" w:lineRule="auto"/>
        <w:ind w:firstLineChars="0"/>
        <w:rPr>
          <w:rFonts w:ascii="Times New Roman" w:hAnsi="Times New Roman" w:eastAsia="宋体" w:cs="Times New Roman"/>
          <w:color w:val="auto"/>
          <w:kern w:val="0"/>
          <w:sz w:val="24"/>
          <w:szCs w:val="24"/>
          <w:lang w:val="zh-CN"/>
        </w:rPr>
      </w:pPr>
      <w:r>
        <w:rPr>
          <w:rFonts w:hint="eastAsia" w:ascii="Times New Roman" w:hAnsi="Times New Roman" w:eastAsia="宋体" w:cs="Times New Roman"/>
          <w:color w:val="auto"/>
          <w:kern w:val="0"/>
          <w:sz w:val="24"/>
          <w:szCs w:val="24"/>
          <w:lang w:val="zh-CN"/>
        </w:rPr>
        <w:t>微波消毒</w:t>
      </w:r>
    </w:p>
    <w:p>
      <w:pPr>
        <w:pStyle w:val="32"/>
        <w:ind w:firstLine="480"/>
        <w:rPr>
          <w:color w:val="auto"/>
          <w:lang w:val="zh-CN"/>
        </w:rPr>
      </w:pPr>
      <w:r>
        <w:rPr>
          <w:rFonts w:hint="eastAsia"/>
          <w:color w:val="auto"/>
          <w:lang w:val="zh-CN"/>
        </w:rPr>
        <w:t>医疗废物</w:t>
      </w:r>
      <w:r>
        <w:rPr>
          <w:color w:val="auto"/>
          <w:lang w:val="zh-CN"/>
        </w:rPr>
        <w:t>微波消毒处理</w:t>
      </w:r>
      <w:r>
        <w:rPr>
          <w:rFonts w:hint="eastAsia"/>
          <w:color w:val="auto"/>
          <w:lang w:val="zh-CN"/>
        </w:rPr>
        <w:t>技术是通过微波激活医疗废物内部或表面上的水分子并引起它们振动而产生热量来实现消毒目标，同时微波还通过电磁场效应、量子效应、超电导作用等影响微生物生长与代谢。消毒时使用的频率通常为（</w:t>
      </w:r>
      <w:r>
        <w:rPr>
          <w:color w:val="auto"/>
          <w:lang w:val="zh-CN"/>
        </w:rPr>
        <w:t>915</w:t>
      </w:r>
      <w:r>
        <w:rPr>
          <w:rFonts w:hint="eastAsia"/>
          <w:color w:val="auto"/>
          <w:lang w:val="zh-CN"/>
        </w:rPr>
        <w:t>±</w:t>
      </w:r>
      <w:r>
        <w:rPr>
          <w:color w:val="auto"/>
          <w:lang w:val="zh-CN"/>
        </w:rPr>
        <w:t>25</w:t>
      </w:r>
      <w:r>
        <w:rPr>
          <w:rFonts w:hint="eastAsia"/>
          <w:color w:val="auto"/>
          <w:lang w:val="zh-CN"/>
        </w:rPr>
        <w:t>）</w:t>
      </w:r>
      <w:r>
        <w:rPr>
          <w:color w:val="auto"/>
          <w:lang w:val="zh-CN"/>
        </w:rPr>
        <w:t>MHz</w:t>
      </w:r>
      <w:r>
        <w:rPr>
          <w:rFonts w:hint="eastAsia"/>
          <w:color w:val="auto"/>
          <w:lang w:val="zh-CN"/>
        </w:rPr>
        <w:t>和（</w:t>
      </w:r>
      <w:r>
        <w:rPr>
          <w:color w:val="auto"/>
          <w:lang w:val="zh-CN"/>
        </w:rPr>
        <w:t>2450</w:t>
      </w:r>
      <w:r>
        <w:rPr>
          <w:rFonts w:hint="eastAsia"/>
          <w:color w:val="auto"/>
          <w:lang w:val="zh-CN"/>
        </w:rPr>
        <w:t>±</w:t>
      </w:r>
      <w:r>
        <w:rPr>
          <w:color w:val="auto"/>
          <w:lang w:val="zh-CN"/>
        </w:rPr>
        <w:t>50</w:t>
      </w:r>
      <w:r>
        <w:rPr>
          <w:rFonts w:hint="eastAsia"/>
          <w:color w:val="auto"/>
          <w:lang w:val="zh-CN"/>
        </w:rPr>
        <w:t>）</w:t>
      </w:r>
      <w:r>
        <w:rPr>
          <w:color w:val="auto"/>
          <w:lang w:val="zh-CN"/>
        </w:rPr>
        <w:t>MHz</w:t>
      </w:r>
      <w:r>
        <w:rPr>
          <w:rFonts w:hint="eastAsia"/>
          <w:color w:val="auto"/>
          <w:lang w:val="zh-CN"/>
        </w:rPr>
        <w:t>。医疗废物微波消毒处置技术一般包括进料、破碎、微波消毒、脱水等工艺单元，主要产生废气如恶臭、</w:t>
      </w:r>
      <w:r>
        <w:rPr>
          <w:color w:val="auto"/>
          <w:lang w:val="zh-CN"/>
        </w:rPr>
        <w:t>VOCs</w:t>
      </w:r>
      <w:r>
        <w:rPr>
          <w:rFonts w:hint="eastAsia"/>
          <w:color w:val="auto"/>
          <w:lang w:val="zh-CN"/>
        </w:rPr>
        <w:t>等，以及少量废水、固体废物、噪声和微波辐射等。</w:t>
      </w:r>
    </w:p>
    <w:p>
      <w:pPr>
        <w:pStyle w:val="23"/>
        <w:numPr>
          <w:ilvl w:val="0"/>
          <w:numId w:val="5"/>
        </w:numPr>
        <w:spacing w:line="336" w:lineRule="auto"/>
        <w:ind w:firstLineChars="0"/>
        <w:rPr>
          <w:rFonts w:ascii="Times New Roman" w:hAnsi="Times New Roman" w:eastAsia="宋体" w:cs="Times New Roman"/>
          <w:color w:val="auto"/>
          <w:kern w:val="0"/>
          <w:sz w:val="24"/>
          <w:szCs w:val="24"/>
          <w:lang w:val="zh-CN"/>
        </w:rPr>
      </w:pPr>
      <w:r>
        <w:rPr>
          <w:rFonts w:hint="eastAsia" w:ascii="Times New Roman" w:hAnsi="Times New Roman" w:eastAsia="宋体" w:cs="Times New Roman"/>
          <w:color w:val="auto"/>
          <w:kern w:val="0"/>
          <w:sz w:val="24"/>
          <w:szCs w:val="24"/>
          <w:lang w:val="zh-CN"/>
        </w:rPr>
        <w:t>高温干热消毒</w:t>
      </w:r>
    </w:p>
    <w:p>
      <w:pPr>
        <w:pStyle w:val="32"/>
        <w:ind w:firstLine="480"/>
        <w:rPr>
          <w:color w:val="auto"/>
          <w:lang w:val="zh-CN"/>
        </w:rPr>
      </w:pPr>
      <w:r>
        <w:rPr>
          <w:rFonts w:hint="eastAsia"/>
          <w:color w:val="auto"/>
          <w:lang w:val="zh-CN"/>
        </w:rPr>
        <w:t>医疗废物高温干热消毒处理技术通过将破碎成</w:t>
      </w:r>
      <w:r>
        <w:rPr>
          <w:color w:val="auto"/>
          <w:lang w:val="zh-CN"/>
        </w:rPr>
        <w:t>10mm~40mm</w:t>
      </w:r>
      <w:r>
        <w:rPr>
          <w:rFonts w:hint="eastAsia"/>
          <w:color w:val="auto"/>
          <w:lang w:val="zh-CN"/>
        </w:rPr>
        <w:t>大小的医疗废物，输送到由导热油加热的蒸煮锅内进行高温消毒杀菌，同时在蒸煮过程中喷入消毒液以保证医疗废物的杀菌效果。该技术主要工艺流程包括上料、碾磨、干热灭菌、出料等，主要产生废气如恶臭、</w:t>
      </w:r>
      <w:r>
        <w:rPr>
          <w:color w:val="auto"/>
          <w:lang w:val="zh-CN"/>
        </w:rPr>
        <w:t>VOCs</w:t>
      </w:r>
      <w:r>
        <w:rPr>
          <w:rFonts w:hint="eastAsia"/>
          <w:color w:val="auto"/>
          <w:lang w:val="zh-CN"/>
        </w:rPr>
        <w:t>等。</w:t>
      </w:r>
    </w:p>
    <w:p>
      <w:pPr>
        <w:pStyle w:val="23"/>
        <w:numPr>
          <w:ilvl w:val="0"/>
          <w:numId w:val="5"/>
        </w:numPr>
        <w:spacing w:line="336" w:lineRule="auto"/>
        <w:ind w:firstLineChars="0"/>
        <w:rPr>
          <w:rFonts w:ascii="Times New Roman" w:hAnsi="Times New Roman" w:eastAsia="宋体" w:cs="Times New Roman"/>
          <w:color w:val="auto"/>
          <w:kern w:val="0"/>
          <w:sz w:val="24"/>
          <w:szCs w:val="24"/>
          <w:lang w:val="zh-CN"/>
        </w:rPr>
      </w:pPr>
      <w:r>
        <w:rPr>
          <w:rFonts w:hint="eastAsia" w:ascii="Times New Roman" w:hAnsi="Times New Roman" w:eastAsia="宋体" w:cs="Times New Roman"/>
          <w:color w:val="auto"/>
          <w:kern w:val="0"/>
          <w:sz w:val="24"/>
          <w:szCs w:val="24"/>
          <w:lang w:val="zh-CN"/>
        </w:rPr>
        <w:t>医疗废物低温无害化处理技术存在的问题</w:t>
      </w:r>
    </w:p>
    <w:p>
      <w:pPr>
        <w:pStyle w:val="32"/>
        <w:ind w:firstLine="480"/>
        <w:rPr>
          <w:color w:val="auto"/>
        </w:rPr>
      </w:pPr>
      <w:r>
        <w:rPr>
          <w:color w:val="auto"/>
        </w:rPr>
        <w:t>医疗废物低温处置技术间歇式的运行方式和工艺特点使该</w:t>
      </w:r>
      <w:r>
        <w:rPr>
          <w:rFonts w:hint="eastAsia"/>
          <w:color w:val="auto"/>
        </w:rPr>
        <w:t>类</w:t>
      </w:r>
      <w:r>
        <w:rPr>
          <w:color w:val="auto"/>
        </w:rPr>
        <w:t>技术具有操作灵活、运行简单、处理成本低廉的特点，更适合产生量较小、来料不稳定、小规模医疗废物的处理。但是也存在以下问题：</w:t>
      </w:r>
    </w:p>
    <w:p>
      <w:pPr>
        <w:pStyle w:val="32"/>
        <w:ind w:firstLine="480"/>
        <w:rPr>
          <w:color w:val="auto"/>
        </w:rPr>
      </w:pPr>
      <w:r>
        <w:rPr>
          <w:color w:val="auto"/>
        </w:rPr>
        <w:t>（1）</w:t>
      </w:r>
      <w:r>
        <w:rPr>
          <w:rFonts w:hint="eastAsia"/>
          <w:color w:val="auto"/>
        </w:rPr>
        <w:t>不适合大规模医疗废物处置且能够处理的废物类型有限。</w:t>
      </w:r>
      <w:r>
        <w:rPr>
          <w:color w:val="auto"/>
        </w:rPr>
        <w:t>医疗废物低温无害化处理</w:t>
      </w:r>
      <w:r>
        <w:rPr>
          <w:rFonts w:hint="eastAsia"/>
          <w:color w:val="auto"/>
        </w:rPr>
        <w:t>设施单台处理设备的规模一般不宜超过</w:t>
      </w:r>
      <w:r>
        <w:rPr>
          <w:color w:val="auto"/>
        </w:rPr>
        <w:t>10t/d</w:t>
      </w:r>
      <w:r>
        <w:rPr>
          <w:rFonts w:hint="eastAsia"/>
          <w:color w:val="auto"/>
        </w:rPr>
        <w:t>，且</w:t>
      </w:r>
      <w:r>
        <w:rPr>
          <w:color w:val="auto"/>
        </w:rPr>
        <w:t>仅适用于处理感染性废物和损伤性废物</w:t>
      </w:r>
      <w:r>
        <w:rPr>
          <w:rFonts w:hint="eastAsia"/>
          <w:color w:val="auto"/>
        </w:rPr>
        <w:t>，以及部分的病理性废物（如微波消毒）</w:t>
      </w:r>
      <w:r>
        <w:rPr>
          <w:color w:val="auto"/>
        </w:rPr>
        <w:t>，不适合处理化学性、药物性废物。</w:t>
      </w:r>
      <w:r>
        <w:rPr>
          <w:rFonts w:hint="eastAsia"/>
          <w:color w:val="auto"/>
        </w:rPr>
        <w:t>基数较大的情况下无形中会增加管理工作的复杂程度，因此产生量超过</w:t>
      </w:r>
      <w:r>
        <w:rPr>
          <w:color w:val="auto"/>
        </w:rPr>
        <w:t>30t/d</w:t>
      </w:r>
      <w:r>
        <w:rPr>
          <w:rFonts w:hint="eastAsia"/>
          <w:color w:val="auto"/>
        </w:rPr>
        <w:t>的大型城市通常采用焚烧方式集中处置医疗废物，例如上海、北京、广州、武汉等。</w:t>
      </w:r>
    </w:p>
    <w:p>
      <w:pPr>
        <w:pStyle w:val="32"/>
        <w:ind w:firstLine="480"/>
        <w:rPr>
          <w:color w:val="auto"/>
        </w:rPr>
      </w:pPr>
      <w:r>
        <w:rPr>
          <w:rFonts w:hint="eastAsia"/>
          <w:color w:val="auto"/>
        </w:rPr>
        <w:t>（</w:t>
      </w:r>
      <w:r>
        <w:rPr>
          <w:color w:val="auto"/>
        </w:rPr>
        <w:t>2</w:t>
      </w:r>
      <w:r>
        <w:rPr>
          <w:rFonts w:hint="eastAsia"/>
          <w:color w:val="auto"/>
        </w:rPr>
        <w:t>）</w:t>
      </w:r>
      <w:r>
        <w:rPr>
          <w:color w:val="auto"/>
        </w:rPr>
        <w:t>处理后的医疗废物仍需后续处置。医疗废物经过低温无害化处理的减容毁形效果不明显，处理不彻底，由于现有管理文件严格禁止医疗废物的回收利用</w:t>
      </w:r>
      <w:r>
        <w:rPr>
          <w:rFonts w:hint="eastAsia"/>
          <w:color w:val="auto"/>
        </w:rPr>
        <w:t>，</w:t>
      </w:r>
      <w:r>
        <w:rPr>
          <w:color w:val="auto"/>
        </w:rPr>
        <w:t>处理后</w:t>
      </w:r>
      <w:r>
        <w:rPr>
          <w:rFonts w:hint="eastAsia"/>
          <w:color w:val="auto"/>
        </w:rPr>
        <w:t>的医废残渣</w:t>
      </w:r>
      <w:r>
        <w:rPr>
          <w:color w:val="auto"/>
        </w:rPr>
        <w:t>仍需进一步处置，要求经济距离内配备有生活垃圾填埋场或焚烧厂。</w:t>
      </w:r>
      <w:r>
        <w:rPr>
          <w:rFonts w:hint="eastAsia"/>
          <w:color w:val="auto"/>
        </w:rPr>
        <w:t>然而土地资源紧缺，部分地区出台相关政策不再允许经低温无害化处理后的医疗废物残渣进入生活垃圾填埋场，</w:t>
      </w:r>
      <w:r>
        <w:rPr>
          <w:color w:val="auto"/>
        </w:rPr>
        <w:t>生活垃圾焚烧厂</w:t>
      </w:r>
      <w:r>
        <w:rPr>
          <w:rFonts w:hint="eastAsia"/>
          <w:color w:val="auto"/>
        </w:rPr>
        <w:t>不仅在</w:t>
      </w:r>
      <w:r>
        <w:rPr>
          <w:color w:val="auto"/>
        </w:rPr>
        <w:t>设计时并未考虑医疗废物的处理，容易造成设备腐蚀及污染物排放超标</w:t>
      </w:r>
      <w:r>
        <w:rPr>
          <w:rFonts w:hint="eastAsia"/>
          <w:color w:val="auto"/>
        </w:rPr>
        <w:t>，同时对进入生活垃圾焚烧厂协同处置的医废残渣有一定限制要求，均加大了后续处置的难度。</w:t>
      </w:r>
    </w:p>
    <w:p>
      <w:pPr>
        <w:pStyle w:val="32"/>
        <w:ind w:firstLine="480"/>
        <w:rPr>
          <w:color w:val="auto"/>
        </w:rPr>
      </w:pPr>
      <w:r>
        <w:rPr>
          <w:color w:val="auto"/>
        </w:rPr>
        <w:t>（3）VOCs、恶臭污染物对局部环境造成不利影响。</w:t>
      </w:r>
      <w:r>
        <w:rPr>
          <w:rFonts w:hint="eastAsia"/>
          <w:color w:val="auto"/>
        </w:rPr>
        <w:t>医疗废物低温无害化处置过程中均有不同程度的</w:t>
      </w:r>
      <w:r>
        <w:rPr>
          <w:color w:val="auto"/>
        </w:rPr>
        <w:t>VOCs</w:t>
      </w:r>
      <w:r>
        <w:rPr>
          <w:rFonts w:hint="eastAsia"/>
          <w:color w:val="auto"/>
        </w:rPr>
        <w:t>及恶臭污染物产生，以</w:t>
      </w:r>
      <w:r>
        <w:rPr>
          <w:color w:val="auto"/>
        </w:rPr>
        <w:t>高温蒸汽技术</w:t>
      </w:r>
      <w:r>
        <w:rPr>
          <w:rFonts w:hint="eastAsia"/>
          <w:color w:val="auto"/>
        </w:rPr>
        <w:t>为例，</w:t>
      </w:r>
      <w:r>
        <w:rPr>
          <w:color w:val="auto"/>
        </w:rPr>
        <w:t>处理1吨医疗废物，有组织排放废气量约为2000m</w:t>
      </w:r>
      <w:r>
        <w:rPr>
          <w:color w:val="auto"/>
          <w:vertAlign w:val="superscript"/>
        </w:rPr>
        <w:t>3</w:t>
      </w:r>
      <w:r>
        <w:rPr>
          <w:color w:val="auto"/>
        </w:rPr>
        <w:t>，其中主要包括VOCs及恶臭污染物，除此之外，出料、破碎等环节亦会无组织排放部分VOCs及恶臭污染物，如未采取得当措施加以控制，则会导致厂区及周边区域弥漫难闻气味。</w:t>
      </w:r>
    </w:p>
    <w:p>
      <w:pPr>
        <w:pStyle w:val="32"/>
        <w:ind w:firstLine="480"/>
        <w:rPr>
          <w:color w:val="auto"/>
        </w:rPr>
      </w:pPr>
      <w:r>
        <w:rPr>
          <w:rFonts w:hint="eastAsia"/>
          <w:color w:val="auto"/>
        </w:rPr>
        <w:t>（</w:t>
      </w:r>
      <w:r>
        <w:rPr>
          <w:color w:val="auto"/>
        </w:rPr>
        <w:t>4</w:t>
      </w:r>
      <w:r>
        <w:rPr>
          <w:rFonts w:hint="eastAsia"/>
          <w:color w:val="auto"/>
        </w:rPr>
        <w:t>）消毒方法的效果监测评估实施程度有限。最新的</w:t>
      </w:r>
      <w:r>
        <w:rPr>
          <w:color w:val="auto"/>
        </w:rPr>
        <w:t>GB 39707</w:t>
      </w:r>
      <w:r>
        <w:rPr>
          <w:rFonts w:hint="eastAsia"/>
          <w:color w:val="auto"/>
        </w:rPr>
        <w:t>中规定“医疗废物处理处置的卫生学效果检测与评价应符合国家疾病防治有关法律法规和标准的规定”；2006年发布的第一版《医疗废物高温蒸汽集中处理工程技术规范（试行）》</w:t>
      </w:r>
      <w:r>
        <w:rPr>
          <w:color w:val="auto"/>
        </w:rPr>
        <w:t>HJ/T 276-2006</w:t>
      </w:r>
      <w:r>
        <w:rPr>
          <w:rFonts w:hint="eastAsia"/>
          <w:color w:val="auto"/>
        </w:rPr>
        <w:t>中要求“处理厂应具备处理效果生物检测能力，自行做不定期的生物检测，一般每周不少于一次”，但实际操作过程中，缺乏针对医疗废物消毒处理设施消毒效果评价的规范与标准，参考的《消毒与灭菌效果的评价方法与标准》</w:t>
      </w:r>
      <w:r>
        <w:rPr>
          <w:color w:val="auto"/>
        </w:rPr>
        <w:t>GB 15981</w:t>
      </w:r>
      <w:r>
        <w:rPr>
          <w:rFonts w:hint="eastAsia"/>
          <w:color w:val="auto"/>
        </w:rPr>
        <w:t>为</w:t>
      </w:r>
      <w:r>
        <w:rPr>
          <w:color w:val="auto"/>
        </w:rPr>
        <w:t>1995</w:t>
      </w:r>
      <w:r>
        <w:rPr>
          <w:rFonts w:hint="eastAsia"/>
          <w:color w:val="auto"/>
        </w:rPr>
        <w:t>年发布，适用于对压力蒸汽灭菌设备灭菌效果的评价，如灭菌柜、手提压力蒸汽灭菌器。消毒技术处理设备的消毒舱容积及形状相对小型灭菌设施来说更难设置合理的检测位置，一般厂内运行人员的操作能力有限，难以保证检测效果的准确性，增大了二次污染的风险。2021年修订发布的《医疗废物高温蒸汽消毒集中处理工程技术规范》HJ276-2021中规定，“高温蒸汽消毒处理效果检测应采用嗜热脂肪杆菌芽孢（ATCC</w:t>
      </w:r>
      <w:r>
        <w:rPr>
          <w:color w:val="auto"/>
        </w:rPr>
        <w:t xml:space="preserve"> </w:t>
      </w:r>
      <w:r>
        <w:rPr>
          <w:rFonts w:hint="eastAsia"/>
          <w:color w:val="auto"/>
        </w:rPr>
        <w:t>7953）作为生物指示物，集中处理工程的工艺设计应保证杀灭对数值≥4.00”，在一定程度上提高了对消毒处理的效果评价要求。</w:t>
      </w:r>
    </w:p>
    <w:p>
      <w:pPr>
        <w:pStyle w:val="4"/>
        <w:rPr>
          <w:rFonts w:cs="Times New Roman"/>
          <w:color w:val="auto"/>
          <w:lang w:val="zh-CN"/>
        </w:rPr>
      </w:pPr>
      <w:bookmarkStart w:id="20" w:name="_Toc27552"/>
      <w:r>
        <w:rPr>
          <w:rFonts w:cs="Times New Roman"/>
          <w:color w:val="auto"/>
          <w:lang w:val="zh-CN"/>
        </w:rPr>
        <w:t>医疗废物高温热处理无害化处置技术</w:t>
      </w:r>
      <w:bookmarkEnd w:id="20"/>
    </w:p>
    <w:p>
      <w:pPr>
        <w:pStyle w:val="32"/>
        <w:ind w:firstLine="480"/>
        <w:rPr>
          <w:rFonts w:hint="default"/>
          <w:color w:val="auto"/>
          <w:lang w:val="en-US"/>
        </w:rPr>
      </w:pPr>
      <w:r>
        <w:rPr>
          <w:color w:val="auto"/>
        </w:rPr>
        <w:t>医疗废物高温无害化处置技术关键设备是焚烧炉，焚烧炉的作用是将固体废物干燥、点火燃烧、燃烬，以达到无害化、减量化、稳定化和彻底毁形的目的。</w:t>
      </w:r>
      <w:r>
        <w:rPr>
          <w:color w:val="auto"/>
          <w:lang w:val="zh-CN"/>
        </w:rPr>
        <w:t>医疗废物中的有机碳氢化合物在高温和充足的氧气条件下燃烧，可达到接近完全燃烬。医疗废物经过焚烧处理后，不仅可以完全杀灭细菌，还可以使绝大部分有毒有害的有机物焚毁，剩下无菌无害的无机物。焚烧具有无害化彻底、减量化明显和部分实现资源化的优点。</w:t>
      </w:r>
      <w:r>
        <w:rPr>
          <w:rFonts w:hint="eastAsia"/>
          <w:color w:val="auto"/>
          <w:lang w:val="zh-CN"/>
        </w:rPr>
        <w:t>但是</w:t>
      </w:r>
      <w:r>
        <w:rPr>
          <w:color w:val="auto"/>
        </w:rPr>
        <w:t>医疗废物焚烧/热解气化处置技术的最大问题是会产生二噁英</w:t>
      </w:r>
      <w:r>
        <w:rPr>
          <w:rFonts w:hint="eastAsia"/>
          <w:color w:val="auto"/>
        </w:rPr>
        <w:t>类</w:t>
      </w:r>
      <w:r>
        <w:rPr>
          <w:color w:val="auto"/>
        </w:rPr>
        <w:t>等污染物，必须结合二噁英</w:t>
      </w:r>
      <w:r>
        <w:rPr>
          <w:rFonts w:hint="eastAsia"/>
          <w:color w:val="auto"/>
        </w:rPr>
        <w:t>类物质</w:t>
      </w:r>
      <w:r>
        <w:rPr>
          <w:color w:val="auto"/>
        </w:rPr>
        <w:t>的生成过程及其生成条件促进技术的升级，在处置过程中尽量消除</w:t>
      </w:r>
      <w:r>
        <w:rPr>
          <w:rFonts w:hint="eastAsia"/>
          <w:color w:val="auto"/>
        </w:rPr>
        <w:t>可能产生</w:t>
      </w:r>
      <w:r>
        <w:rPr>
          <w:color w:val="auto"/>
        </w:rPr>
        <w:t>二噁英</w:t>
      </w:r>
      <w:r>
        <w:rPr>
          <w:rFonts w:hint="eastAsia"/>
          <w:color w:val="auto"/>
        </w:rPr>
        <w:t>类物质的方式与环节</w:t>
      </w:r>
      <w:r>
        <w:rPr>
          <w:color w:val="auto"/>
        </w:rPr>
        <w:t>从而减少二噁英</w:t>
      </w:r>
      <w:r>
        <w:rPr>
          <w:rFonts w:hint="eastAsia"/>
          <w:color w:val="auto"/>
        </w:rPr>
        <w:t>类物质</w:t>
      </w:r>
      <w:r>
        <w:rPr>
          <w:color w:val="auto"/>
        </w:rPr>
        <w:t>的排放。</w:t>
      </w:r>
    </w:p>
    <w:p>
      <w:pPr>
        <w:pStyle w:val="32"/>
        <w:ind w:firstLine="480"/>
        <w:rPr>
          <w:color w:val="auto"/>
        </w:rPr>
      </w:pPr>
      <w:r>
        <w:rPr>
          <w:rFonts w:hint="eastAsia"/>
          <w:color w:val="auto"/>
        </w:rPr>
        <w:t>应用较为成熟的</w:t>
      </w:r>
      <w:r>
        <w:rPr>
          <w:color w:val="auto"/>
        </w:rPr>
        <w:t>医疗废物焚烧炉</w:t>
      </w:r>
      <w:r>
        <w:rPr>
          <w:rFonts w:hint="eastAsia"/>
          <w:color w:val="auto"/>
        </w:rPr>
        <w:t>类型有热解气化焚烧炉、</w:t>
      </w:r>
      <w:r>
        <w:rPr>
          <w:color w:val="auto"/>
        </w:rPr>
        <w:t>回转窑</w:t>
      </w:r>
      <w:r>
        <w:rPr>
          <w:rFonts w:hint="eastAsia"/>
          <w:color w:val="auto"/>
        </w:rPr>
        <w:t>焚烧炉、</w:t>
      </w:r>
      <w:r>
        <w:rPr>
          <w:color w:val="auto"/>
        </w:rPr>
        <w:t>机械炉排炉和</w:t>
      </w:r>
      <w:r>
        <w:rPr>
          <w:rFonts w:hint="eastAsia"/>
          <w:color w:val="auto"/>
        </w:rPr>
        <w:t>流化床焚烧炉</w:t>
      </w:r>
      <w:r>
        <w:rPr>
          <w:color w:val="auto"/>
        </w:rPr>
        <w:t>等。</w:t>
      </w:r>
    </w:p>
    <w:p>
      <w:pPr>
        <w:pStyle w:val="23"/>
        <w:numPr>
          <w:ilvl w:val="0"/>
          <w:numId w:val="6"/>
        </w:numPr>
        <w:spacing w:line="336" w:lineRule="auto"/>
        <w:ind w:firstLineChars="0"/>
        <w:rPr>
          <w:rFonts w:ascii="Times New Roman" w:hAnsi="Times New Roman" w:eastAsia="宋体" w:cs="Times New Roman"/>
          <w:color w:val="auto"/>
          <w:kern w:val="0"/>
          <w:sz w:val="24"/>
          <w:szCs w:val="24"/>
          <w:lang w:val="zh-CN"/>
        </w:rPr>
      </w:pPr>
      <w:r>
        <w:rPr>
          <w:rFonts w:hint="eastAsia" w:ascii="Times New Roman" w:hAnsi="Times New Roman" w:eastAsia="宋体" w:cs="Times New Roman"/>
          <w:color w:val="auto"/>
          <w:kern w:val="0"/>
          <w:sz w:val="24"/>
          <w:szCs w:val="24"/>
          <w:lang w:val="zh-CN"/>
        </w:rPr>
        <w:t>热解气化焚烧炉</w:t>
      </w:r>
    </w:p>
    <w:p>
      <w:pPr>
        <w:pStyle w:val="32"/>
        <w:ind w:firstLine="480"/>
        <w:rPr>
          <w:color w:val="auto"/>
          <w:lang w:val="zh-CN"/>
        </w:rPr>
      </w:pPr>
      <w:r>
        <w:rPr>
          <w:color w:val="auto"/>
          <w:lang w:val="zh-CN"/>
        </w:rPr>
        <w:t>目前医疗废物焚烧</w:t>
      </w:r>
      <w:r>
        <w:rPr>
          <w:rFonts w:hint="eastAsia"/>
          <w:color w:val="auto"/>
          <w:lang w:val="zh-CN"/>
        </w:rPr>
        <w:t>处置</w:t>
      </w:r>
      <w:r>
        <w:rPr>
          <w:color w:val="auto"/>
          <w:lang w:val="zh-CN"/>
        </w:rPr>
        <w:t>采用热解气化技术的焚烧系统有卧式控气式热解气化炉、AB炉交替工作热解气化炉和立式连续热解气化炉，工艺差异较大</w:t>
      </w:r>
      <w:r>
        <w:rPr>
          <w:rFonts w:hint="eastAsia"/>
          <w:color w:val="auto"/>
          <w:lang w:val="zh-CN"/>
        </w:rPr>
        <w:t>，其中以</w:t>
      </w:r>
      <w:r>
        <w:rPr>
          <w:color w:val="auto"/>
          <w:lang w:val="zh-CN"/>
        </w:rPr>
        <w:t>立式连续热解气化炉</w:t>
      </w:r>
      <w:r>
        <w:rPr>
          <w:rFonts w:hint="eastAsia"/>
          <w:color w:val="auto"/>
          <w:lang w:val="zh-CN"/>
        </w:rPr>
        <w:t>技术优势较为明显</w:t>
      </w:r>
      <w:r>
        <w:rPr>
          <w:color w:val="auto"/>
          <w:lang w:val="zh-CN"/>
        </w:rPr>
        <w:t>。</w:t>
      </w:r>
    </w:p>
    <w:p>
      <w:pPr>
        <w:pStyle w:val="32"/>
        <w:ind w:firstLine="480"/>
        <w:rPr>
          <w:color w:val="auto"/>
          <w:lang w:val="zh-CN"/>
        </w:rPr>
      </w:pPr>
      <w:r>
        <w:rPr>
          <w:color w:val="auto"/>
          <w:lang w:val="zh-CN"/>
        </w:rPr>
        <w:t>热解气化炉从上往下，依次为干燥段、热解段、燃烧段、燃烬段和冷却段。医疗废物首先在干燥段由热解段上升的烟气干燥，其中的水分挥发</w:t>
      </w:r>
      <w:r>
        <w:rPr>
          <w:rFonts w:hint="eastAsia"/>
          <w:color w:val="auto"/>
          <w:lang w:val="zh-CN"/>
        </w:rPr>
        <w:t>；</w:t>
      </w:r>
      <w:r>
        <w:rPr>
          <w:color w:val="auto"/>
          <w:lang w:val="zh-CN"/>
        </w:rPr>
        <w:t>在热分解段和气化燃烧段分解为一氧化碳、氢、气态烃类</w:t>
      </w:r>
      <w:r>
        <w:rPr>
          <w:rFonts w:hint="eastAsia"/>
          <w:color w:val="auto"/>
          <w:lang w:val="zh-CN"/>
        </w:rPr>
        <w:t>（</w:t>
      </w:r>
      <w:r>
        <w:rPr>
          <w:color w:val="auto"/>
          <w:lang w:val="zh-CN"/>
        </w:rPr>
        <w:t>甲烷等</w:t>
      </w:r>
      <w:r>
        <w:rPr>
          <w:rFonts w:hint="eastAsia"/>
          <w:color w:val="auto"/>
          <w:lang w:val="zh-CN"/>
        </w:rPr>
        <w:t>）</w:t>
      </w:r>
      <w:r>
        <w:rPr>
          <w:color w:val="auto"/>
          <w:lang w:val="zh-CN"/>
        </w:rPr>
        <w:t>等可燃物进入混合烟气中</w:t>
      </w:r>
      <w:r>
        <w:rPr>
          <w:rFonts w:hint="eastAsia"/>
          <w:color w:val="auto"/>
          <w:lang w:val="zh-CN"/>
        </w:rPr>
        <w:t>；</w:t>
      </w:r>
      <w:r>
        <w:rPr>
          <w:color w:val="auto"/>
          <w:lang w:val="zh-CN"/>
        </w:rPr>
        <w:t>热解气化后的残留物</w:t>
      </w:r>
      <w:r>
        <w:rPr>
          <w:rFonts w:hint="eastAsia"/>
          <w:color w:val="auto"/>
          <w:lang w:val="zh-CN"/>
        </w:rPr>
        <w:t>（</w:t>
      </w:r>
      <w:r>
        <w:rPr>
          <w:color w:val="auto"/>
          <w:lang w:val="zh-CN"/>
        </w:rPr>
        <w:t>液态焦油的化合物、较纯的固定碳以及医疗废物本身含有的无机灰土和惰性物质</w:t>
      </w:r>
      <w:r>
        <w:rPr>
          <w:rFonts w:hint="eastAsia"/>
          <w:color w:val="auto"/>
          <w:lang w:val="zh-CN"/>
        </w:rPr>
        <w:t>）</w:t>
      </w:r>
      <w:r>
        <w:rPr>
          <w:color w:val="auto"/>
          <w:lang w:val="zh-CN"/>
        </w:rPr>
        <w:t>进入燃烧段充分燃烧，燃烧段热量用来提供</w:t>
      </w:r>
      <w:r>
        <w:rPr>
          <w:rFonts w:hint="eastAsia"/>
          <w:color w:val="auto"/>
          <w:lang w:val="zh-CN"/>
        </w:rPr>
        <w:t>至</w:t>
      </w:r>
      <w:r>
        <w:rPr>
          <w:color w:val="auto"/>
          <w:lang w:val="zh-CN"/>
        </w:rPr>
        <w:t>热解段和干燥段所需</w:t>
      </w:r>
      <w:r>
        <w:rPr>
          <w:rFonts w:hint="eastAsia"/>
          <w:color w:val="auto"/>
          <w:lang w:val="zh-CN"/>
        </w:rPr>
        <w:t>；燃烧段</w:t>
      </w:r>
      <w:r>
        <w:rPr>
          <w:color w:val="auto"/>
          <w:lang w:val="zh-CN"/>
        </w:rPr>
        <w:t>残渣</w:t>
      </w:r>
      <w:r>
        <w:rPr>
          <w:rFonts w:hint="eastAsia"/>
          <w:color w:val="auto"/>
          <w:lang w:val="zh-CN"/>
        </w:rPr>
        <w:t>通过</w:t>
      </w:r>
      <w:r>
        <w:rPr>
          <w:color w:val="auto"/>
          <w:lang w:val="zh-CN"/>
        </w:rPr>
        <w:t>燃烬段继续燃烧后进入冷却段</w:t>
      </w:r>
      <w:r>
        <w:rPr>
          <w:rFonts w:hint="eastAsia"/>
          <w:color w:val="auto"/>
          <w:lang w:val="zh-CN"/>
        </w:rPr>
        <w:t>，</w:t>
      </w:r>
      <w:r>
        <w:rPr>
          <w:color w:val="auto"/>
          <w:lang w:val="zh-CN"/>
        </w:rPr>
        <w:t>经炉排的机械挤压破碎后由排渣系统排出炉外</w:t>
      </w:r>
      <w:r>
        <w:rPr>
          <w:rFonts w:hint="eastAsia"/>
          <w:color w:val="auto"/>
          <w:lang w:val="zh-CN"/>
        </w:rPr>
        <w:t>；</w:t>
      </w:r>
      <w:r>
        <w:rPr>
          <w:color w:val="auto"/>
          <w:lang w:val="zh-CN"/>
        </w:rPr>
        <w:t>热解气化炉产生的混合烟气进入二燃室燃烧。</w:t>
      </w:r>
    </w:p>
    <w:p>
      <w:pPr>
        <w:pStyle w:val="32"/>
        <w:ind w:firstLine="480"/>
        <w:rPr>
          <w:color w:val="auto"/>
          <w:lang w:val="zh-CN"/>
        </w:rPr>
      </w:pPr>
      <w:r>
        <w:rPr>
          <w:color w:val="auto"/>
          <w:lang w:val="zh-CN"/>
        </w:rPr>
        <w:t>热解工艺</w:t>
      </w:r>
      <w:r>
        <w:rPr>
          <w:rFonts w:hint="eastAsia"/>
          <w:color w:val="auto"/>
          <w:lang w:val="zh-CN"/>
        </w:rPr>
        <w:t>不仅</w:t>
      </w:r>
      <w:r>
        <w:rPr>
          <w:color w:val="auto"/>
          <w:lang w:val="zh-CN"/>
        </w:rPr>
        <w:t>对废物的热值要求较高</w:t>
      </w:r>
      <w:r>
        <w:rPr>
          <w:rFonts w:hint="eastAsia"/>
          <w:color w:val="auto"/>
          <w:lang w:val="zh-CN"/>
        </w:rPr>
        <w:t>，还需充分考虑</w:t>
      </w:r>
      <w:r>
        <w:rPr>
          <w:color w:val="auto"/>
          <w:lang w:val="zh-CN"/>
        </w:rPr>
        <w:t>炉膛的耐火、保温、隔热材料</w:t>
      </w:r>
      <w:r>
        <w:rPr>
          <w:rFonts w:hint="eastAsia"/>
          <w:color w:val="auto"/>
          <w:lang w:val="zh-CN"/>
        </w:rPr>
        <w:t>性能，考虑</w:t>
      </w:r>
      <w:r>
        <w:rPr>
          <w:color w:val="auto"/>
          <w:lang w:val="zh-CN"/>
        </w:rPr>
        <w:t>系统工艺上的防爆和设备的泄爆；相对其他炉型，热解炉的处理时间稍长，粉尘颗粒较粗。热解焚烧技术的难点是如何避免热解产气过程、焚烧过程相互干扰，确保相对分离、稳定产气、稳定燃烧，并通过良好的自控提高设备对医疗废物进料性质和数量</w:t>
      </w:r>
      <w:r>
        <w:rPr>
          <w:rFonts w:hint="eastAsia"/>
          <w:color w:val="auto"/>
          <w:lang w:val="zh-CN"/>
        </w:rPr>
        <w:t>波动</w:t>
      </w:r>
      <w:r>
        <w:rPr>
          <w:color w:val="auto"/>
          <w:lang w:val="zh-CN"/>
        </w:rPr>
        <w:t>的适应性。</w:t>
      </w:r>
      <w:r>
        <w:rPr>
          <w:rFonts w:hint="eastAsia"/>
          <w:color w:val="auto"/>
          <w:lang w:val="zh-CN"/>
        </w:rPr>
        <w:t>废物处置规模和进料负荷能够得到保障的情况下，采用连续焚烧技术具有一定优势；反之若运营过程中烟气量波动大，则尾气处理难以稳定达标排放。</w:t>
      </w:r>
    </w:p>
    <w:p>
      <w:pPr>
        <w:pStyle w:val="23"/>
        <w:numPr>
          <w:ilvl w:val="0"/>
          <w:numId w:val="6"/>
        </w:numPr>
        <w:spacing w:line="336" w:lineRule="auto"/>
        <w:ind w:firstLineChars="0"/>
        <w:rPr>
          <w:rFonts w:ascii="Times New Roman" w:hAnsi="Times New Roman" w:eastAsia="宋体" w:cs="Times New Roman"/>
          <w:color w:val="auto"/>
          <w:kern w:val="0"/>
          <w:sz w:val="24"/>
          <w:szCs w:val="24"/>
          <w:lang w:val="zh-CN"/>
        </w:rPr>
      </w:pPr>
      <w:r>
        <w:rPr>
          <w:rFonts w:hint="eastAsia" w:ascii="Times New Roman" w:hAnsi="Times New Roman" w:eastAsia="宋体" w:cs="Times New Roman"/>
          <w:color w:val="auto"/>
          <w:kern w:val="0"/>
          <w:sz w:val="24"/>
          <w:szCs w:val="24"/>
          <w:lang w:val="zh-CN"/>
        </w:rPr>
        <w:t>回转窑焚烧炉</w:t>
      </w:r>
    </w:p>
    <w:p>
      <w:pPr>
        <w:pStyle w:val="32"/>
        <w:ind w:firstLine="480"/>
        <w:rPr>
          <w:color w:val="auto"/>
          <w:lang w:val="zh-CN"/>
        </w:rPr>
      </w:pPr>
      <w:r>
        <w:rPr>
          <w:color w:val="auto"/>
          <w:lang w:val="zh-CN"/>
        </w:rPr>
        <w:t>回转窑是一个略为倾斜而内衬耐火砖的钢制空心圆筒，大多数废物物料</w:t>
      </w:r>
      <w:r>
        <w:rPr>
          <w:rFonts w:hint="eastAsia"/>
          <w:color w:val="auto"/>
          <w:lang w:val="zh-CN"/>
        </w:rPr>
        <w:t>通过</w:t>
      </w:r>
      <w:r>
        <w:rPr>
          <w:color w:val="auto"/>
          <w:lang w:val="zh-CN"/>
        </w:rPr>
        <w:t>燃烧过程中产生的气体以及窑壁传输的热量</w:t>
      </w:r>
      <w:r>
        <w:rPr>
          <w:rFonts w:hint="eastAsia"/>
          <w:color w:val="auto"/>
          <w:lang w:val="zh-CN"/>
        </w:rPr>
        <w:t>而被加热</w:t>
      </w:r>
      <w:r>
        <w:rPr>
          <w:color w:val="auto"/>
          <w:lang w:val="zh-CN"/>
        </w:rPr>
        <w:t>。</w:t>
      </w:r>
      <w:r>
        <w:rPr>
          <w:rFonts w:hint="eastAsia"/>
          <w:color w:val="auto"/>
          <w:lang w:val="zh-CN"/>
        </w:rPr>
        <w:t>固体废物通过前端进料，通过窑体定速旋转达到搅拌目的，通过旋转时保持适当倾斜度以利于物料下滑，此外废液和废气可从窑体前、中、后段配合助燃空气送入。</w:t>
      </w:r>
    </w:p>
    <w:p>
      <w:pPr>
        <w:pStyle w:val="32"/>
        <w:ind w:firstLine="480"/>
        <w:rPr>
          <w:color w:val="auto"/>
          <w:lang w:val="zh-CN"/>
        </w:rPr>
      </w:pPr>
      <w:r>
        <w:rPr>
          <w:color w:val="auto"/>
          <w:lang w:val="zh-CN"/>
        </w:rPr>
        <w:t>回转窑焚烧炉是一种适应性很强，能焚烧多种液体和固体废物的多用途焚烧炉。除了重金属、水或无机化合物含量高的不可燃物外，各种不同物态（固体、液体、污泥等）及形状（颗粒、粉状、块状及桶状）的可燃性废物皆可送</w:t>
      </w:r>
      <w:r>
        <w:rPr>
          <w:rFonts w:hint="eastAsia"/>
          <w:color w:val="auto"/>
          <w:lang w:val="zh-CN"/>
        </w:rPr>
        <w:t>入</w:t>
      </w:r>
      <w:r>
        <w:rPr>
          <w:color w:val="auto"/>
          <w:lang w:val="zh-CN"/>
        </w:rPr>
        <w:t>回转窑中焚烧。技术可行性指标</w:t>
      </w:r>
      <w:r>
        <w:rPr>
          <w:rFonts w:hint="eastAsia"/>
          <w:color w:val="auto"/>
          <w:lang w:val="zh-CN"/>
        </w:rPr>
        <w:t>相对</w:t>
      </w:r>
      <w:r>
        <w:rPr>
          <w:color w:val="auto"/>
          <w:lang w:val="zh-CN"/>
        </w:rPr>
        <w:t>较高，易于操作。从目前国内外的情况来看，采用回转窑式焚烧炉对危险废物进行处理的比例是较高的。回转窑对垃圾物理性状的适应性较强、适合燃烧成分复杂的工业垃圾，但其燃烧不易控制，垃圾热值低时燃烧困难</w:t>
      </w:r>
      <w:r>
        <w:rPr>
          <w:rFonts w:hint="eastAsia"/>
          <w:color w:val="auto"/>
          <w:lang w:val="zh-CN"/>
        </w:rPr>
        <w:t>，炉渣热灼减率较高且尾气治理控制难度高。</w:t>
      </w:r>
    </w:p>
    <w:p>
      <w:pPr>
        <w:pStyle w:val="32"/>
        <w:ind w:firstLine="480"/>
        <w:rPr>
          <w:color w:val="auto"/>
          <w:lang w:val="zh-CN"/>
        </w:rPr>
      </w:pPr>
      <w:r>
        <w:rPr>
          <w:color w:val="auto"/>
          <w:lang w:val="zh-CN"/>
        </w:rPr>
        <w:t>回转窑焚烧炉较多使用在工业固体废弃物的焚烧上，一些大型的危险废物回转窑焚烧炉也在焚烧工业危险废物的同时，通过增加医疗废物进料系统、冷库等协同</w:t>
      </w:r>
      <w:r>
        <w:rPr>
          <w:rFonts w:hint="eastAsia"/>
          <w:color w:val="auto"/>
          <w:lang w:val="zh-CN"/>
        </w:rPr>
        <w:t>处置</w:t>
      </w:r>
      <w:r>
        <w:rPr>
          <w:color w:val="auto"/>
          <w:lang w:val="zh-CN"/>
        </w:rPr>
        <w:t>医疗废物，相对而言</w:t>
      </w:r>
      <w:r>
        <w:rPr>
          <w:rFonts w:hint="eastAsia"/>
          <w:color w:val="auto"/>
          <w:lang w:val="zh-CN"/>
        </w:rPr>
        <w:t>该技术在</w:t>
      </w:r>
      <w:r>
        <w:rPr>
          <w:color w:val="auto"/>
          <w:lang w:val="zh-CN"/>
        </w:rPr>
        <w:t>医疗废物</w:t>
      </w:r>
      <w:r>
        <w:rPr>
          <w:rFonts w:hint="eastAsia"/>
          <w:color w:val="auto"/>
          <w:lang w:val="zh-CN"/>
        </w:rPr>
        <w:t>处置的应用中</w:t>
      </w:r>
      <w:r>
        <w:rPr>
          <w:color w:val="auto"/>
          <w:lang w:val="zh-CN"/>
        </w:rPr>
        <w:t>相对较少，比较典型的项目有北京润泰医废项目、上海固废处置中心医废项目。</w:t>
      </w:r>
    </w:p>
    <w:p>
      <w:pPr>
        <w:pStyle w:val="23"/>
        <w:numPr>
          <w:ilvl w:val="0"/>
          <w:numId w:val="6"/>
        </w:numPr>
        <w:spacing w:line="336" w:lineRule="auto"/>
        <w:ind w:firstLineChars="0"/>
        <w:rPr>
          <w:rFonts w:ascii="Times New Roman" w:hAnsi="Times New Roman" w:eastAsia="宋体" w:cs="Times New Roman"/>
          <w:color w:val="auto"/>
          <w:kern w:val="0"/>
          <w:sz w:val="24"/>
          <w:szCs w:val="24"/>
          <w:lang w:val="zh-CN"/>
        </w:rPr>
      </w:pPr>
      <w:r>
        <w:rPr>
          <w:rFonts w:hint="eastAsia" w:ascii="Times New Roman" w:hAnsi="Times New Roman" w:eastAsia="宋体" w:cs="Times New Roman"/>
          <w:color w:val="auto"/>
          <w:kern w:val="0"/>
          <w:sz w:val="24"/>
          <w:szCs w:val="24"/>
          <w:lang w:val="zh-CN"/>
        </w:rPr>
        <w:t>机械炉排炉焚烧炉</w:t>
      </w:r>
    </w:p>
    <w:p>
      <w:pPr>
        <w:pStyle w:val="32"/>
        <w:ind w:firstLine="480"/>
        <w:rPr>
          <w:color w:val="auto"/>
        </w:rPr>
      </w:pPr>
      <w:r>
        <w:rPr>
          <w:color w:val="auto"/>
          <w:lang w:val="zh-CN"/>
        </w:rPr>
        <w:t>机械炉排焚烧炉是较早发展的垃圾焚烧炉型式</w:t>
      </w:r>
      <w:r>
        <w:rPr>
          <w:rFonts w:hint="eastAsia"/>
          <w:color w:val="auto"/>
          <w:lang w:val="zh-CN"/>
        </w:rPr>
        <w:t>，</w:t>
      </w:r>
      <w:r>
        <w:rPr>
          <w:color w:val="auto"/>
          <w:lang w:val="zh-CN"/>
        </w:rPr>
        <w:t>垃圾在炉排上进行层状燃烧，经过干燥、燃烧、燃烬后灰渣排出炉外。</w:t>
      </w:r>
      <w:r>
        <w:rPr>
          <w:color w:val="auto"/>
        </w:rPr>
        <w:t>炉排炉适合于大件和形状不规则的废物，多数情况下它是通过运动炉排的推动，使废物不断发生剪切</w:t>
      </w:r>
      <w:r>
        <w:rPr>
          <w:rFonts w:hint="eastAsia"/>
          <w:color w:val="auto"/>
        </w:rPr>
        <w:t>、</w:t>
      </w:r>
      <w:r>
        <w:rPr>
          <w:color w:val="auto"/>
        </w:rPr>
        <w:t>翻动，依次通过干燥点火段、燃烬段，未经燃尽的废物不断暴露于火焰中，达到完全燃烧，炉渣经排渣槽排出炉外。炉排型焚烧炉具有对废物含水和热值范围适应性较宽，物料分布和透气比较均匀，燃烧比较充分等优点，且热效率适中。但炉排结构复杂，维修量大，需定期停炉检修和更换炉排，燃烧塑料废物时易使炉排粘结磨损</w:t>
      </w:r>
      <w:r>
        <w:rPr>
          <w:rFonts w:hint="eastAsia"/>
          <w:color w:val="auto"/>
        </w:rPr>
        <w:t>而</w:t>
      </w:r>
      <w:r>
        <w:rPr>
          <w:color w:val="auto"/>
        </w:rPr>
        <w:t>加大阻力</w:t>
      </w:r>
      <w:r>
        <w:rPr>
          <w:rFonts w:hint="eastAsia"/>
          <w:color w:val="auto"/>
        </w:rPr>
        <w:t>。</w:t>
      </w:r>
    </w:p>
    <w:p>
      <w:pPr>
        <w:pStyle w:val="32"/>
        <w:ind w:firstLine="480"/>
        <w:rPr>
          <w:color w:val="auto"/>
        </w:rPr>
      </w:pPr>
      <w:r>
        <w:rPr>
          <w:color w:val="auto"/>
        </w:rPr>
        <w:t>对医疗废物而言，由于其成分复杂，</w:t>
      </w:r>
      <w:r>
        <w:rPr>
          <w:rFonts w:hint="eastAsia"/>
          <w:color w:val="auto"/>
        </w:rPr>
        <w:t>尤其高含氯量易</w:t>
      </w:r>
      <w:r>
        <w:rPr>
          <w:color w:val="auto"/>
        </w:rPr>
        <w:t>腐蚀炉排</w:t>
      </w:r>
      <w:r>
        <w:rPr>
          <w:rFonts w:hint="eastAsia"/>
          <w:color w:val="auto"/>
        </w:rPr>
        <w:t>；</w:t>
      </w:r>
      <w:r>
        <w:rPr>
          <w:color w:val="auto"/>
        </w:rPr>
        <w:t>焚烧温度受传动炉排和耐火材料的限制一般不能大于950℃，</w:t>
      </w:r>
      <w:r>
        <w:rPr>
          <w:rFonts w:hint="eastAsia"/>
          <w:color w:val="auto"/>
        </w:rPr>
        <w:t>常</w:t>
      </w:r>
      <w:r>
        <w:rPr>
          <w:color w:val="auto"/>
        </w:rPr>
        <w:t>用温度在850℃左右</w:t>
      </w:r>
      <w:r>
        <w:rPr>
          <w:rFonts w:hint="eastAsia"/>
          <w:color w:val="auto"/>
        </w:rPr>
        <w:t>，而药物性和化学性废物</w:t>
      </w:r>
      <w:r>
        <w:rPr>
          <w:color w:val="auto"/>
        </w:rPr>
        <w:t>的焚烧要求炉温大于1100℃，且</w:t>
      </w:r>
      <w:r>
        <w:rPr>
          <w:rFonts w:hint="eastAsia"/>
          <w:color w:val="auto"/>
        </w:rPr>
        <w:t>高温段停留时间</w:t>
      </w:r>
      <w:r>
        <w:rPr>
          <w:color w:val="auto"/>
        </w:rPr>
        <w:t>应</w:t>
      </w:r>
      <w:r>
        <w:rPr>
          <w:rFonts w:hint="eastAsia"/>
          <w:color w:val="auto"/>
        </w:rPr>
        <w:t>≥</w:t>
      </w:r>
      <w:r>
        <w:rPr>
          <w:color w:val="auto"/>
        </w:rPr>
        <w:t>2s，以保证</w:t>
      </w:r>
      <w:r>
        <w:rPr>
          <w:rFonts w:hint="eastAsia"/>
          <w:color w:val="auto"/>
        </w:rPr>
        <w:t>彻底消除废物的毒害性并</w:t>
      </w:r>
      <w:r>
        <w:rPr>
          <w:color w:val="auto"/>
        </w:rPr>
        <w:t>防止形成二噁英之类的剧毒物质随烟气排入大气环境</w:t>
      </w:r>
      <w:r>
        <w:rPr>
          <w:rFonts w:hint="eastAsia"/>
          <w:color w:val="auto"/>
        </w:rPr>
        <w:t>，</w:t>
      </w:r>
      <w:r>
        <w:rPr>
          <w:color w:val="auto"/>
        </w:rPr>
        <w:t>因此在发达国家很少采用炉排型炉焚烧医疗废物。</w:t>
      </w:r>
      <w:r>
        <w:rPr>
          <w:rFonts w:hint="eastAsia"/>
          <w:color w:val="auto"/>
        </w:rPr>
        <w:t>以前在我国</w:t>
      </w:r>
      <w:r>
        <w:rPr>
          <w:color w:val="auto"/>
        </w:rPr>
        <w:t>只有极个别地区尝试使用链条式燃煤锅炉改装的国产垃圾</w:t>
      </w:r>
      <w:r>
        <w:rPr>
          <w:rFonts w:hint="eastAsia"/>
          <w:color w:val="auto"/>
        </w:rPr>
        <w:t>焚烧炉处置</w:t>
      </w:r>
      <w:r>
        <w:rPr>
          <w:color w:val="auto"/>
        </w:rPr>
        <w:t>医疗废物，</w:t>
      </w:r>
      <w:r>
        <w:rPr>
          <w:rFonts w:hint="eastAsia"/>
          <w:color w:val="auto"/>
        </w:rPr>
        <w:t>但由于</w:t>
      </w:r>
      <w:r>
        <w:rPr>
          <w:color w:val="auto"/>
        </w:rPr>
        <w:t>医疗废物</w:t>
      </w:r>
      <w:r>
        <w:rPr>
          <w:rFonts w:hint="eastAsia"/>
          <w:color w:val="auto"/>
        </w:rPr>
        <w:t>的</w:t>
      </w:r>
      <w:r>
        <w:rPr>
          <w:color w:val="auto"/>
        </w:rPr>
        <w:t>高氯含量导致炉排、耐火材料、锅炉腐蚀严重、寿命短，且炉排炉焚烧温度仅850℃，无法满足处理药物性废物和化学性废物的要求。这些项目目前大部分都因技术落后、污染大而停止运行。</w:t>
      </w:r>
    </w:p>
    <w:p>
      <w:pPr>
        <w:pStyle w:val="23"/>
        <w:numPr>
          <w:ilvl w:val="0"/>
          <w:numId w:val="6"/>
        </w:numPr>
        <w:spacing w:line="336" w:lineRule="auto"/>
        <w:ind w:firstLineChars="0"/>
        <w:rPr>
          <w:rFonts w:ascii="Times New Roman" w:hAnsi="Times New Roman" w:eastAsia="宋体" w:cs="Times New Roman"/>
          <w:color w:val="auto"/>
          <w:kern w:val="0"/>
          <w:sz w:val="24"/>
          <w:szCs w:val="24"/>
          <w:lang w:val="zh-CN"/>
        </w:rPr>
      </w:pPr>
      <w:r>
        <w:rPr>
          <w:rFonts w:hint="eastAsia" w:ascii="Times New Roman" w:hAnsi="Times New Roman" w:eastAsia="宋体" w:cs="Times New Roman"/>
          <w:color w:val="auto"/>
          <w:kern w:val="0"/>
          <w:sz w:val="24"/>
          <w:szCs w:val="24"/>
          <w:lang w:val="zh-CN"/>
        </w:rPr>
        <w:t>流化床焚烧炉</w:t>
      </w:r>
    </w:p>
    <w:p>
      <w:pPr>
        <w:pStyle w:val="32"/>
        <w:ind w:firstLine="480"/>
        <w:rPr>
          <w:color w:val="auto"/>
          <w:lang w:val="zh-CN"/>
        </w:rPr>
      </w:pPr>
      <w:r>
        <w:rPr>
          <w:color w:val="auto"/>
          <w:lang w:val="zh-CN"/>
        </w:rPr>
        <w:t>流化床焚烧炉由一个耐火材料为衬里的垂直容器和其中的惰性颗粒物（一般可采用硅砂）组成，空气由焚烧炉底部的通风装置进入炉内，垂直上升的气流吹动炉内的颗粒物，并使之处于流态化状态，具有流体的特性，因此称为流化床。流化床焚烧炉燃烧原理是借着砂介质的均匀传热与蓄热效果以达到完全燃烧的目的，由于介质之间所能提供的孔道狭小，无法接纳较大的颗粒，因此若是处理固体废弃物，必须先破碎成小颗粒，以利反应的进行。</w:t>
      </w:r>
    </w:p>
    <w:p>
      <w:pPr>
        <w:pStyle w:val="32"/>
        <w:ind w:firstLine="480"/>
        <w:rPr>
          <w:color w:val="auto"/>
          <w:lang w:val="zh-CN"/>
        </w:rPr>
      </w:pPr>
      <w:r>
        <w:rPr>
          <w:color w:val="auto"/>
          <w:lang w:val="zh-CN"/>
        </w:rPr>
        <w:t>流化床焚烧炉多用于处理有机废液、黑液及下水道污泥等废物。废液及污泥可直接喷入炉内焚烧，固体废物必须先经破碎、切割至直径小于2-3cm小块后，才可送入炉中。含钠、钾等碱金属盐类及低熔点物质的废物不宜送入炉中处理，以免熔融物质附着炉壁产生过热现象，或形成大块物体累积于炉底，妨碍燃烧反应的进行。流化床炉内气体和固体燃料或废物接触面积大，传热效率高，温度分配非常平均，不仅可以完全燃烧，所需焚烧销毁的温度也可适当降低。由于热载体对炉体容易磨损，燃烧速度快，炉内温度不易控制，易产生CO</w:t>
      </w:r>
      <w:r>
        <w:rPr>
          <w:rFonts w:hint="eastAsia"/>
          <w:color w:val="auto"/>
          <w:lang w:val="zh-CN"/>
        </w:rPr>
        <w:t>、二噁英类物质</w:t>
      </w:r>
      <w:r>
        <w:rPr>
          <w:color w:val="auto"/>
          <w:lang w:val="zh-CN"/>
        </w:rPr>
        <w:t>等缺点，所以一般只适用于轻质木屑、污泥、煤等的焚烧处理，焚烧前还要将固体废物粉碎。流化床焚烧炉烟气量大，飞灰产量大，物料适用性差，在医废焚烧中应用很少。</w:t>
      </w:r>
    </w:p>
    <w:p>
      <w:pPr>
        <w:pStyle w:val="23"/>
        <w:numPr>
          <w:ilvl w:val="0"/>
          <w:numId w:val="6"/>
        </w:numPr>
        <w:spacing w:line="336" w:lineRule="auto"/>
        <w:ind w:firstLineChars="0"/>
        <w:rPr>
          <w:rFonts w:ascii="Times New Roman" w:hAnsi="Times New Roman" w:eastAsia="宋体" w:cs="Times New Roman"/>
          <w:color w:val="auto"/>
          <w:kern w:val="0"/>
          <w:sz w:val="24"/>
          <w:szCs w:val="24"/>
          <w:lang w:val="zh-CN"/>
        </w:rPr>
      </w:pPr>
      <w:r>
        <w:rPr>
          <w:rFonts w:hint="eastAsia" w:ascii="Times New Roman" w:hAnsi="Times New Roman" w:eastAsia="宋体" w:cs="Times New Roman"/>
          <w:color w:val="auto"/>
          <w:kern w:val="0"/>
          <w:sz w:val="24"/>
          <w:szCs w:val="24"/>
          <w:lang w:val="zh-CN"/>
        </w:rPr>
        <w:t>医疗废物高温热处理无害化处置技术存在的问题</w:t>
      </w:r>
    </w:p>
    <w:p>
      <w:pPr>
        <w:pStyle w:val="32"/>
        <w:ind w:firstLine="480"/>
        <w:rPr>
          <w:color w:val="auto"/>
          <w:lang w:val="zh-CN"/>
        </w:rPr>
      </w:pPr>
      <w:r>
        <w:rPr>
          <w:color w:val="auto"/>
          <w:lang w:val="zh-CN"/>
        </w:rPr>
        <w:t>焚烧和热解气化技术是我国目前主流的医疗废物处置技术，相较于医疗废物低温处理技术有明显的优势，但仍存在一定的问题：</w:t>
      </w:r>
    </w:p>
    <w:p>
      <w:pPr>
        <w:pStyle w:val="32"/>
        <w:ind w:firstLine="480"/>
        <w:rPr>
          <w:color w:val="auto"/>
          <w:lang w:val="zh-CN"/>
        </w:rPr>
      </w:pPr>
      <w:r>
        <w:rPr>
          <w:color w:val="auto"/>
          <w:lang w:val="zh-CN"/>
        </w:rPr>
        <w:t>（1）医疗废物焚烧会产生约</w:t>
      </w:r>
      <w:r>
        <w:rPr>
          <w:rFonts w:hint="eastAsia"/>
          <w:color w:val="auto"/>
          <w:lang w:val="zh-CN"/>
        </w:rPr>
        <w:t>15-</w:t>
      </w:r>
      <w:r>
        <w:rPr>
          <w:color w:val="auto"/>
          <w:lang w:val="zh-CN"/>
        </w:rPr>
        <w:t>20wt%的炉渣，</w:t>
      </w:r>
      <w:r>
        <w:rPr>
          <w:rFonts w:hint="eastAsia"/>
          <w:color w:val="auto"/>
          <w:lang w:val="zh-CN"/>
        </w:rPr>
        <w:t>炉渣</w:t>
      </w:r>
      <w:r>
        <w:rPr>
          <w:color w:val="auto"/>
          <w:lang w:val="zh-CN"/>
        </w:rPr>
        <w:t>仍需填埋</w:t>
      </w:r>
      <w:r>
        <w:rPr>
          <w:rFonts w:hint="eastAsia"/>
          <w:color w:val="auto"/>
          <w:lang w:val="zh-CN"/>
        </w:rPr>
        <w:t>。</w:t>
      </w:r>
      <w:r>
        <w:rPr>
          <w:color w:val="auto"/>
          <w:lang w:val="zh-CN"/>
        </w:rPr>
        <w:t>按照《医疗废物集中焚烧处置工程建设技术规范》（HJ</w:t>
      </w:r>
      <w:r>
        <w:rPr>
          <w:rFonts w:hint="eastAsia"/>
          <w:color w:val="auto"/>
          <w:lang w:val="en-US" w:eastAsia="zh-CN"/>
        </w:rPr>
        <w:t xml:space="preserve"> </w:t>
      </w:r>
      <w:r>
        <w:rPr>
          <w:color w:val="auto"/>
          <w:lang w:val="zh-CN"/>
        </w:rPr>
        <w:t>177）要求，</w:t>
      </w:r>
      <w:r>
        <w:rPr>
          <w:rFonts w:hint="eastAsia"/>
          <w:color w:val="auto"/>
          <w:lang w:val="zh-CN"/>
        </w:rPr>
        <w:t>“</w:t>
      </w:r>
      <w:r>
        <w:rPr>
          <w:color w:val="auto"/>
          <w:lang w:val="zh-CN"/>
        </w:rPr>
        <w:t>焚烧</w:t>
      </w:r>
      <w:r>
        <w:rPr>
          <w:rFonts w:hint="eastAsia"/>
          <w:color w:val="auto"/>
          <w:lang w:val="zh-CN"/>
        </w:rPr>
        <w:t>产生的</w:t>
      </w:r>
      <w:r>
        <w:rPr>
          <w:color w:val="auto"/>
          <w:lang w:val="zh-CN"/>
        </w:rPr>
        <w:t>炉渣</w:t>
      </w:r>
      <w:r>
        <w:rPr>
          <w:rFonts w:hint="eastAsia"/>
          <w:color w:val="auto"/>
          <w:lang w:val="zh-CN"/>
        </w:rPr>
        <w:t>可送指定生活垃圾卫生填埋场填埋处置；焚烧飞灰、吸附二噁英类物质和其他有害成分的活性炭等残余物应按照危险废物进行处置，应送危险废物填埋场进行安全填埋处置。”修订后的HJ</w:t>
      </w:r>
      <w:r>
        <w:rPr>
          <w:color w:val="auto"/>
          <w:lang w:val="zh-CN"/>
        </w:rPr>
        <w:t xml:space="preserve"> </w:t>
      </w:r>
      <w:r>
        <w:rPr>
          <w:rFonts w:hint="eastAsia"/>
          <w:color w:val="auto"/>
          <w:lang w:val="zh-CN"/>
        </w:rPr>
        <w:t>177-20</w:t>
      </w:r>
      <w:r>
        <w:rPr>
          <w:rFonts w:hint="eastAsia"/>
          <w:color w:val="auto"/>
          <w:lang w:val="en-US" w:eastAsia="zh-CN"/>
        </w:rPr>
        <w:t>2</w:t>
      </w:r>
      <w:r>
        <w:rPr>
          <w:rFonts w:hint="eastAsia"/>
          <w:color w:val="auto"/>
          <w:lang w:val="zh-CN"/>
        </w:rPr>
        <w:t>3中规定“集中焚烧处置工程产生的固体废物应按照固体废物的属性进行管理。”</w:t>
      </w:r>
      <w:r>
        <w:rPr>
          <w:color w:val="auto"/>
          <w:lang w:val="zh-CN"/>
        </w:rPr>
        <w:t xml:space="preserve"> </w:t>
      </w:r>
      <w:r>
        <w:rPr>
          <w:rFonts w:hint="eastAsia"/>
          <w:color w:val="auto"/>
          <w:lang w:val="zh-CN"/>
        </w:rPr>
        <w:t>根据《生活垃圾填埋场污染控制标准》（</w:t>
      </w:r>
      <w:r>
        <w:rPr>
          <w:color w:val="auto"/>
          <w:lang w:val="zh-CN"/>
        </w:rPr>
        <w:t>GB 16889-2008</w:t>
      </w:r>
      <w:r>
        <w:rPr>
          <w:rFonts w:hint="eastAsia"/>
          <w:color w:val="auto"/>
          <w:lang w:val="zh-CN"/>
        </w:rPr>
        <w:t>）中6</w:t>
      </w:r>
      <w:r>
        <w:rPr>
          <w:color w:val="auto"/>
          <w:lang w:val="zh-CN"/>
        </w:rPr>
        <w:t>.3</w:t>
      </w:r>
      <w:r>
        <w:rPr>
          <w:rFonts w:hint="eastAsia"/>
          <w:color w:val="auto"/>
          <w:lang w:val="zh-CN"/>
        </w:rPr>
        <w:t>子项要求，“医疗废物焚烧残渣（包括飞灰、底渣）经处理后满足下列条件，可以进入生活垃圾填埋场填埋处置。”</w:t>
      </w:r>
      <w:r>
        <w:rPr>
          <w:rFonts w:hint="eastAsia"/>
          <w:color w:val="auto"/>
          <w:kern w:val="0"/>
          <w:szCs w:val="21"/>
          <w:lang w:val="zh-CN"/>
        </w:rPr>
        <w:t xml:space="preserve"> 具体要求为：</w:t>
      </w:r>
      <w:r>
        <w:rPr>
          <w:rFonts w:hint="eastAsia" w:ascii="宋体" w:hAnsi="宋体"/>
          <w:color w:val="auto"/>
          <w:kern w:val="0"/>
          <w:szCs w:val="21"/>
          <w:lang w:val="zh-CN"/>
        </w:rPr>
        <w:t>①</w:t>
      </w:r>
      <w:r>
        <w:rPr>
          <w:rFonts w:hint="eastAsia"/>
          <w:color w:val="auto"/>
          <w:kern w:val="0"/>
          <w:szCs w:val="21"/>
          <w:lang w:val="zh-CN"/>
        </w:rPr>
        <w:t>含水率小于</w:t>
      </w:r>
      <w:r>
        <w:rPr>
          <w:color w:val="auto"/>
          <w:kern w:val="0"/>
          <w:szCs w:val="21"/>
          <w:lang w:val="zh-CN"/>
        </w:rPr>
        <w:t>30%</w:t>
      </w:r>
      <w:r>
        <w:rPr>
          <w:rFonts w:hint="eastAsia"/>
          <w:color w:val="auto"/>
          <w:kern w:val="0"/>
          <w:szCs w:val="21"/>
          <w:lang w:val="zh-CN"/>
        </w:rPr>
        <w:t>；</w:t>
      </w:r>
      <w:r>
        <w:rPr>
          <w:rFonts w:hint="eastAsia" w:ascii="宋体" w:hAnsi="宋体"/>
          <w:color w:val="auto"/>
          <w:kern w:val="0"/>
          <w:szCs w:val="21"/>
          <w:lang w:val="zh-CN"/>
        </w:rPr>
        <w:t>②</w:t>
      </w:r>
      <w:r>
        <w:rPr>
          <w:rFonts w:hint="eastAsia"/>
          <w:color w:val="auto"/>
          <w:kern w:val="0"/>
          <w:szCs w:val="21"/>
          <w:lang w:val="zh-CN"/>
        </w:rPr>
        <w:t>二噁英类物质含量低于</w:t>
      </w:r>
      <w:r>
        <w:rPr>
          <w:color w:val="auto"/>
          <w:kern w:val="0"/>
          <w:szCs w:val="21"/>
          <w:lang w:val="zh-CN"/>
        </w:rPr>
        <w:t>3</w:t>
      </w:r>
      <w:r>
        <w:rPr>
          <w:color w:val="auto"/>
          <w:kern w:val="0"/>
          <w:szCs w:val="21"/>
          <w:lang w:val="zh-CN"/>
        </w:rPr>
        <w:sym w:font="Symbol" w:char="F06D"/>
      </w:r>
      <w:r>
        <w:rPr>
          <w:color w:val="auto"/>
          <w:kern w:val="0"/>
          <w:szCs w:val="21"/>
          <w:lang w:val="zh-CN"/>
        </w:rPr>
        <w:t>g TEQ/Kg</w:t>
      </w:r>
      <w:r>
        <w:rPr>
          <w:rFonts w:hint="eastAsia"/>
          <w:color w:val="auto"/>
          <w:kern w:val="0"/>
          <w:szCs w:val="21"/>
          <w:lang w:val="zh-CN"/>
        </w:rPr>
        <w:t>；</w:t>
      </w:r>
      <w:r>
        <w:rPr>
          <w:rFonts w:hint="eastAsia" w:ascii="宋体" w:hAnsi="宋体"/>
          <w:color w:val="auto"/>
          <w:kern w:val="0"/>
          <w:szCs w:val="21"/>
          <w:lang w:val="zh-CN"/>
        </w:rPr>
        <w:t>③</w:t>
      </w:r>
      <w:r>
        <w:rPr>
          <w:rFonts w:hint="eastAsia"/>
          <w:color w:val="auto"/>
          <w:kern w:val="0"/>
          <w:szCs w:val="21"/>
          <w:lang w:val="zh-CN"/>
        </w:rPr>
        <w:t>按照</w:t>
      </w:r>
      <w:r>
        <w:rPr>
          <w:color w:val="auto"/>
          <w:kern w:val="0"/>
          <w:szCs w:val="21"/>
          <w:lang w:val="zh-CN"/>
        </w:rPr>
        <w:t>HJ/T 300</w:t>
      </w:r>
      <w:r>
        <w:rPr>
          <w:rFonts w:hint="eastAsia"/>
          <w:color w:val="auto"/>
          <w:kern w:val="0"/>
          <w:szCs w:val="21"/>
          <w:lang w:val="zh-CN"/>
        </w:rPr>
        <w:t>制备的浸出液中危害成分浓度低于规定的限值。</w:t>
      </w:r>
      <w:r>
        <w:rPr>
          <w:rFonts w:hint="eastAsia"/>
          <w:color w:val="auto"/>
          <w:lang w:val="zh-CN"/>
        </w:rPr>
        <w:t>如果不能满足上述生活垃圾填埋场入场要求则需进入安全填埋场，综合处置费用大大增高。</w:t>
      </w:r>
    </w:p>
    <w:p>
      <w:pPr>
        <w:pStyle w:val="23"/>
        <w:numPr>
          <w:ilvl w:val="0"/>
          <w:numId w:val="3"/>
        </w:numPr>
        <w:spacing w:line="360" w:lineRule="auto"/>
        <w:ind w:firstLineChars="0"/>
        <w:jc w:val="center"/>
        <w:rPr>
          <w:rFonts w:ascii="Times New Roman" w:hAnsi="Times New Roman" w:eastAsia="宋体" w:cs="Times New Roman"/>
          <w:b/>
          <w:color w:val="auto"/>
          <w:szCs w:val="21"/>
        </w:rPr>
      </w:pPr>
      <w:r>
        <w:rPr>
          <w:rFonts w:hint="eastAsia" w:ascii="Times New Roman" w:hAnsi="Times New Roman" w:eastAsia="宋体" w:cs="Times New Roman"/>
          <w:b/>
          <w:bCs/>
          <w:color w:val="auto"/>
          <w:kern w:val="0"/>
          <w:szCs w:val="21"/>
          <w:lang w:val="zh-CN"/>
        </w:rPr>
        <w:t>浸出液污染物浓度限值（</w:t>
      </w:r>
      <w:r>
        <w:rPr>
          <w:rFonts w:ascii="Times New Roman" w:hAnsi="Times New Roman" w:eastAsia="宋体" w:cs="Times New Roman"/>
          <w:b/>
          <w:bCs/>
          <w:color w:val="auto"/>
          <w:kern w:val="0"/>
          <w:szCs w:val="21"/>
          <w:lang w:val="zh-CN"/>
        </w:rPr>
        <w:t>GB 16889-2008</w:t>
      </w:r>
      <w:r>
        <w:rPr>
          <w:rFonts w:hint="eastAsia" w:ascii="Times New Roman" w:hAnsi="Times New Roman" w:eastAsia="宋体" w:cs="Times New Roman"/>
          <w:b/>
          <w:bCs/>
          <w:color w:val="auto"/>
          <w:kern w:val="0"/>
          <w:szCs w:val="21"/>
          <w:lang w:val="zh-CN"/>
        </w:rPr>
        <w:t>）</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1"/>
        <w:gridCol w:w="2835"/>
        <w:gridCol w:w="29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tcPr>
          <w:p>
            <w:pPr>
              <w:adjustRightInd w:val="0"/>
              <w:snapToGrid w:val="0"/>
              <w:jc w:val="center"/>
              <w:rPr>
                <w:rFonts w:ascii="Times New Roman" w:hAnsi="Times New Roman" w:eastAsia="宋体" w:cs="Times New Roman"/>
                <w:b/>
                <w:bCs/>
                <w:color w:val="auto"/>
                <w:kern w:val="0"/>
                <w:sz w:val="21"/>
                <w:szCs w:val="21"/>
                <w:lang w:val="zh-CN"/>
              </w:rPr>
            </w:pPr>
            <w:r>
              <w:rPr>
                <w:rFonts w:hint="eastAsia" w:ascii="Times New Roman" w:hAnsi="Times New Roman" w:eastAsia="宋体" w:cs="Times New Roman"/>
                <w:b/>
                <w:bCs/>
                <w:color w:val="auto"/>
                <w:kern w:val="0"/>
                <w:sz w:val="21"/>
                <w:szCs w:val="21"/>
                <w:lang w:val="zh-CN"/>
              </w:rPr>
              <w:t>序号</w:t>
            </w:r>
          </w:p>
        </w:tc>
        <w:tc>
          <w:tcPr>
            <w:tcW w:w="2835" w:type="dxa"/>
          </w:tcPr>
          <w:p>
            <w:pPr>
              <w:adjustRightInd w:val="0"/>
              <w:snapToGrid w:val="0"/>
              <w:jc w:val="center"/>
              <w:rPr>
                <w:rFonts w:ascii="Times New Roman" w:hAnsi="Times New Roman" w:eastAsia="宋体" w:cs="Times New Roman"/>
                <w:b/>
                <w:bCs/>
                <w:color w:val="auto"/>
                <w:kern w:val="0"/>
                <w:sz w:val="21"/>
                <w:szCs w:val="21"/>
                <w:lang w:val="zh-CN"/>
              </w:rPr>
            </w:pPr>
            <w:r>
              <w:rPr>
                <w:rFonts w:hint="eastAsia" w:ascii="Times New Roman" w:hAnsi="Times New Roman" w:eastAsia="宋体" w:cs="Times New Roman"/>
                <w:b/>
                <w:bCs/>
                <w:color w:val="auto"/>
                <w:kern w:val="0"/>
                <w:sz w:val="21"/>
                <w:szCs w:val="21"/>
                <w:lang w:val="zh-CN"/>
              </w:rPr>
              <w:t>污染物项目</w:t>
            </w:r>
          </w:p>
        </w:tc>
        <w:tc>
          <w:tcPr>
            <w:tcW w:w="2924" w:type="dxa"/>
          </w:tcPr>
          <w:p>
            <w:pPr>
              <w:adjustRightInd w:val="0"/>
              <w:snapToGrid w:val="0"/>
              <w:jc w:val="center"/>
              <w:rPr>
                <w:rFonts w:ascii="Times New Roman" w:hAnsi="Times New Roman" w:eastAsia="宋体" w:cs="Times New Roman"/>
                <w:b/>
                <w:bCs/>
                <w:color w:val="auto"/>
                <w:kern w:val="0"/>
                <w:sz w:val="21"/>
                <w:szCs w:val="21"/>
                <w:lang w:val="zh-CN"/>
              </w:rPr>
            </w:pPr>
            <w:r>
              <w:rPr>
                <w:rFonts w:hint="eastAsia" w:ascii="Times New Roman" w:hAnsi="Times New Roman" w:eastAsia="宋体" w:cs="Times New Roman"/>
                <w:b/>
                <w:bCs/>
                <w:color w:val="auto"/>
                <w:kern w:val="0"/>
                <w:sz w:val="21"/>
                <w:szCs w:val="21"/>
                <w:lang w:val="zh-CN"/>
              </w:rPr>
              <w:t>浓度限值（</w:t>
            </w:r>
            <w:r>
              <w:rPr>
                <w:rFonts w:ascii="Times New Roman" w:hAnsi="Times New Roman" w:eastAsia="宋体" w:cs="Times New Roman"/>
                <w:b/>
                <w:bCs/>
                <w:color w:val="auto"/>
                <w:kern w:val="0"/>
                <w:sz w:val="21"/>
                <w:szCs w:val="21"/>
                <w:lang w:val="zh-CN"/>
              </w:rPr>
              <w:t>mg/L</w:t>
            </w:r>
            <w:r>
              <w:rPr>
                <w:rFonts w:hint="eastAsia" w:ascii="Times New Roman" w:hAnsi="Times New Roman" w:eastAsia="宋体" w:cs="Times New Roman"/>
                <w:b/>
                <w:bCs/>
                <w:color w:val="auto"/>
                <w:kern w:val="0"/>
                <w:sz w:val="21"/>
                <w:szCs w:val="21"/>
                <w:lang w:val="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tcPr>
          <w:p>
            <w:pPr>
              <w:adjustRightInd w:val="0"/>
              <w:snapToGrid w:val="0"/>
              <w:jc w:val="center"/>
              <w:rPr>
                <w:rFonts w:ascii="Times New Roman" w:hAnsi="Times New Roman" w:eastAsia="宋体" w:cs="Times New Roman"/>
                <w:color w:val="auto"/>
                <w:kern w:val="0"/>
                <w:sz w:val="21"/>
                <w:szCs w:val="21"/>
                <w:lang w:val="zh-CN"/>
              </w:rPr>
            </w:pPr>
            <w:r>
              <w:rPr>
                <w:rFonts w:ascii="Times New Roman" w:hAnsi="Times New Roman" w:eastAsia="宋体" w:cs="Times New Roman"/>
                <w:color w:val="auto"/>
                <w:kern w:val="0"/>
                <w:sz w:val="21"/>
                <w:szCs w:val="21"/>
                <w:lang w:val="zh-CN"/>
              </w:rPr>
              <w:t>1</w:t>
            </w:r>
          </w:p>
        </w:tc>
        <w:tc>
          <w:tcPr>
            <w:tcW w:w="2835" w:type="dxa"/>
          </w:tcPr>
          <w:p>
            <w:pPr>
              <w:adjustRightInd w:val="0"/>
              <w:snapToGrid w:val="0"/>
              <w:jc w:val="center"/>
              <w:rPr>
                <w:rFonts w:ascii="Times New Roman" w:hAnsi="Times New Roman" w:eastAsia="宋体" w:cs="Times New Roman"/>
                <w:color w:val="auto"/>
                <w:kern w:val="0"/>
                <w:sz w:val="21"/>
                <w:szCs w:val="21"/>
                <w:lang w:val="zh-CN"/>
              </w:rPr>
            </w:pPr>
            <w:r>
              <w:rPr>
                <w:rFonts w:hint="eastAsia" w:ascii="Times New Roman" w:hAnsi="Times New Roman" w:eastAsia="宋体" w:cs="Times New Roman"/>
                <w:color w:val="auto"/>
                <w:kern w:val="0"/>
                <w:sz w:val="21"/>
                <w:szCs w:val="21"/>
                <w:lang w:val="zh-CN"/>
              </w:rPr>
              <w:t>汞</w:t>
            </w:r>
          </w:p>
        </w:tc>
        <w:tc>
          <w:tcPr>
            <w:tcW w:w="2924" w:type="dxa"/>
          </w:tcPr>
          <w:p>
            <w:pPr>
              <w:adjustRightInd w:val="0"/>
              <w:snapToGrid w:val="0"/>
              <w:jc w:val="center"/>
              <w:rPr>
                <w:rFonts w:ascii="Times New Roman" w:hAnsi="Times New Roman" w:eastAsia="宋体" w:cs="Times New Roman"/>
                <w:color w:val="auto"/>
                <w:kern w:val="0"/>
                <w:sz w:val="21"/>
                <w:szCs w:val="21"/>
                <w:lang w:val="zh-CN"/>
              </w:rPr>
            </w:pPr>
            <w:r>
              <w:rPr>
                <w:rFonts w:ascii="Times New Roman" w:hAnsi="Times New Roman" w:eastAsia="宋体" w:cs="Times New Roman"/>
                <w:color w:val="auto"/>
                <w:kern w:val="0"/>
                <w:sz w:val="21"/>
                <w:szCs w:val="21"/>
                <w:lang w:val="zh-CN"/>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tcPr>
          <w:p>
            <w:pPr>
              <w:adjustRightInd w:val="0"/>
              <w:snapToGrid w:val="0"/>
              <w:jc w:val="center"/>
              <w:rPr>
                <w:rFonts w:ascii="Times New Roman" w:hAnsi="Times New Roman" w:eastAsia="宋体" w:cs="Times New Roman"/>
                <w:color w:val="auto"/>
                <w:kern w:val="0"/>
                <w:sz w:val="21"/>
                <w:szCs w:val="21"/>
                <w:lang w:val="zh-CN"/>
              </w:rPr>
            </w:pPr>
            <w:r>
              <w:rPr>
                <w:rFonts w:ascii="Times New Roman" w:hAnsi="Times New Roman" w:eastAsia="宋体" w:cs="Times New Roman"/>
                <w:color w:val="auto"/>
                <w:kern w:val="0"/>
                <w:sz w:val="21"/>
                <w:szCs w:val="21"/>
                <w:lang w:val="zh-CN"/>
              </w:rPr>
              <w:t>2</w:t>
            </w:r>
          </w:p>
        </w:tc>
        <w:tc>
          <w:tcPr>
            <w:tcW w:w="2835" w:type="dxa"/>
          </w:tcPr>
          <w:p>
            <w:pPr>
              <w:adjustRightInd w:val="0"/>
              <w:snapToGrid w:val="0"/>
              <w:jc w:val="center"/>
              <w:rPr>
                <w:rFonts w:ascii="Times New Roman" w:hAnsi="Times New Roman" w:eastAsia="宋体" w:cs="Times New Roman"/>
                <w:color w:val="auto"/>
                <w:kern w:val="0"/>
                <w:sz w:val="21"/>
                <w:szCs w:val="21"/>
                <w:lang w:val="zh-CN"/>
              </w:rPr>
            </w:pPr>
            <w:r>
              <w:rPr>
                <w:rFonts w:hint="eastAsia" w:ascii="Times New Roman" w:hAnsi="Times New Roman" w:eastAsia="宋体" w:cs="Times New Roman"/>
                <w:color w:val="auto"/>
                <w:kern w:val="0"/>
                <w:sz w:val="21"/>
                <w:szCs w:val="21"/>
                <w:lang w:val="zh-CN"/>
              </w:rPr>
              <w:t>铜</w:t>
            </w:r>
          </w:p>
        </w:tc>
        <w:tc>
          <w:tcPr>
            <w:tcW w:w="2924" w:type="dxa"/>
          </w:tcPr>
          <w:p>
            <w:pPr>
              <w:adjustRightInd w:val="0"/>
              <w:snapToGrid w:val="0"/>
              <w:jc w:val="center"/>
              <w:rPr>
                <w:rFonts w:ascii="Times New Roman" w:hAnsi="Times New Roman" w:eastAsia="宋体" w:cs="Times New Roman"/>
                <w:color w:val="auto"/>
                <w:kern w:val="0"/>
                <w:sz w:val="21"/>
                <w:szCs w:val="21"/>
                <w:lang w:val="zh-CN"/>
              </w:rPr>
            </w:pPr>
            <w:r>
              <w:rPr>
                <w:rFonts w:ascii="Times New Roman" w:hAnsi="Times New Roman" w:eastAsia="宋体" w:cs="Times New Roman"/>
                <w:color w:val="auto"/>
                <w:kern w:val="0"/>
                <w:sz w:val="21"/>
                <w:szCs w:val="21"/>
                <w:lang w:val="zh-CN"/>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tcPr>
          <w:p>
            <w:pPr>
              <w:adjustRightInd w:val="0"/>
              <w:snapToGrid w:val="0"/>
              <w:jc w:val="center"/>
              <w:rPr>
                <w:rFonts w:ascii="Times New Roman" w:hAnsi="Times New Roman" w:eastAsia="宋体" w:cs="Times New Roman"/>
                <w:color w:val="auto"/>
                <w:kern w:val="0"/>
                <w:sz w:val="21"/>
                <w:szCs w:val="21"/>
                <w:lang w:val="zh-CN"/>
              </w:rPr>
            </w:pPr>
            <w:r>
              <w:rPr>
                <w:rFonts w:ascii="Times New Roman" w:hAnsi="Times New Roman" w:eastAsia="宋体" w:cs="Times New Roman"/>
                <w:color w:val="auto"/>
                <w:kern w:val="0"/>
                <w:sz w:val="21"/>
                <w:szCs w:val="21"/>
                <w:lang w:val="zh-CN"/>
              </w:rPr>
              <w:t>3</w:t>
            </w:r>
          </w:p>
        </w:tc>
        <w:tc>
          <w:tcPr>
            <w:tcW w:w="2835" w:type="dxa"/>
          </w:tcPr>
          <w:p>
            <w:pPr>
              <w:adjustRightInd w:val="0"/>
              <w:snapToGrid w:val="0"/>
              <w:jc w:val="center"/>
              <w:rPr>
                <w:rFonts w:ascii="Times New Roman" w:hAnsi="Times New Roman" w:eastAsia="宋体" w:cs="Times New Roman"/>
                <w:color w:val="auto"/>
                <w:kern w:val="0"/>
                <w:sz w:val="21"/>
                <w:szCs w:val="21"/>
                <w:lang w:val="zh-CN"/>
              </w:rPr>
            </w:pPr>
            <w:r>
              <w:rPr>
                <w:rFonts w:hint="eastAsia" w:ascii="Times New Roman" w:hAnsi="Times New Roman" w:eastAsia="宋体" w:cs="Times New Roman"/>
                <w:color w:val="auto"/>
                <w:kern w:val="0"/>
                <w:sz w:val="21"/>
                <w:szCs w:val="21"/>
                <w:lang w:val="zh-CN"/>
              </w:rPr>
              <w:t>锌</w:t>
            </w:r>
          </w:p>
        </w:tc>
        <w:tc>
          <w:tcPr>
            <w:tcW w:w="2924" w:type="dxa"/>
          </w:tcPr>
          <w:p>
            <w:pPr>
              <w:adjustRightInd w:val="0"/>
              <w:snapToGrid w:val="0"/>
              <w:jc w:val="center"/>
              <w:rPr>
                <w:rFonts w:ascii="Times New Roman" w:hAnsi="Times New Roman" w:eastAsia="宋体" w:cs="Times New Roman"/>
                <w:color w:val="auto"/>
                <w:kern w:val="0"/>
                <w:sz w:val="21"/>
                <w:szCs w:val="21"/>
                <w:lang w:val="zh-CN"/>
              </w:rPr>
            </w:pPr>
            <w:r>
              <w:rPr>
                <w:rFonts w:ascii="Times New Roman" w:hAnsi="Times New Roman" w:eastAsia="宋体" w:cs="Times New Roman"/>
                <w:color w:val="auto"/>
                <w:kern w:val="0"/>
                <w:sz w:val="21"/>
                <w:szCs w:val="21"/>
                <w:lang w:val="zh-CN"/>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tcPr>
          <w:p>
            <w:pPr>
              <w:adjustRightInd w:val="0"/>
              <w:snapToGrid w:val="0"/>
              <w:jc w:val="center"/>
              <w:rPr>
                <w:rFonts w:ascii="Times New Roman" w:hAnsi="Times New Roman" w:eastAsia="宋体" w:cs="Times New Roman"/>
                <w:color w:val="auto"/>
                <w:kern w:val="0"/>
                <w:sz w:val="21"/>
                <w:szCs w:val="21"/>
                <w:lang w:val="zh-CN"/>
              </w:rPr>
            </w:pPr>
            <w:r>
              <w:rPr>
                <w:rFonts w:ascii="Times New Roman" w:hAnsi="Times New Roman" w:eastAsia="宋体" w:cs="Times New Roman"/>
                <w:color w:val="auto"/>
                <w:kern w:val="0"/>
                <w:sz w:val="21"/>
                <w:szCs w:val="21"/>
                <w:lang w:val="zh-CN"/>
              </w:rPr>
              <w:t>4</w:t>
            </w:r>
          </w:p>
        </w:tc>
        <w:tc>
          <w:tcPr>
            <w:tcW w:w="2835" w:type="dxa"/>
          </w:tcPr>
          <w:p>
            <w:pPr>
              <w:adjustRightInd w:val="0"/>
              <w:snapToGrid w:val="0"/>
              <w:jc w:val="center"/>
              <w:rPr>
                <w:rFonts w:ascii="Times New Roman" w:hAnsi="Times New Roman" w:eastAsia="宋体" w:cs="Times New Roman"/>
                <w:color w:val="auto"/>
                <w:kern w:val="0"/>
                <w:sz w:val="21"/>
                <w:szCs w:val="21"/>
                <w:lang w:val="zh-CN"/>
              </w:rPr>
            </w:pPr>
            <w:r>
              <w:rPr>
                <w:rFonts w:hint="eastAsia" w:ascii="Times New Roman" w:hAnsi="Times New Roman" w:eastAsia="宋体" w:cs="Times New Roman"/>
                <w:color w:val="auto"/>
                <w:kern w:val="0"/>
                <w:sz w:val="21"/>
                <w:szCs w:val="21"/>
                <w:lang w:val="zh-CN"/>
              </w:rPr>
              <w:t>铅</w:t>
            </w:r>
          </w:p>
        </w:tc>
        <w:tc>
          <w:tcPr>
            <w:tcW w:w="2924" w:type="dxa"/>
          </w:tcPr>
          <w:p>
            <w:pPr>
              <w:adjustRightInd w:val="0"/>
              <w:snapToGrid w:val="0"/>
              <w:jc w:val="center"/>
              <w:rPr>
                <w:rFonts w:ascii="Times New Roman" w:hAnsi="Times New Roman" w:eastAsia="宋体" w:cs="Times New Roman"/>
                <w:color w:val="auto"/>
                <w:kern w:val="0"/>
                <w:sz w:val="21"/>
                <w:szCs w:val="21"/>
                <w:lang w:val="zh-CN"/>
              </w:rPr>
            </w:pPr>
            <w:r>
              <w:rPr>
                <w:rFonts w:ascii="Times New Roman" w:hAnsi="Times New Roman" w:eastAsia="宋体" w:cs="Times New Roman"/>
                <w:color w:val="auto"/>
                <w:kern w:val="0"/>
                <w:sz w:val="21"/>
                <w:szCs w:val="21"/>
                <w:lang w:val="zh-CN"/>
              </w:rPr>
              <w:t>0.25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tcPr>
          <w:p>
            <w:pPr>
              <w:adjustRightInd w:val="0"/>
              <w:snapToGrid w:val="0"/>
              <w:jc w:val="center"/>
              <w:rPr>
                <w:rFonts w:ascii="Times New Roman" w:hAnsi="Times New Roman" w:eastAsia="宋体" w:cs="Times New Roman"/>
                <w:color w:val="auto"/>
                <w:kern w:val="0"/>
                <w:sz w:val="21"/>
                <w:szCs w:val="21"/>
                <w:lang w:val="zh-CN"/>
              </w:rPr>
            </w:pPr>
            <w:r>
              <w:rPr>
                <w:rFonts w:ascii="Times New Roman" w:hAnsi="Times New Roman" w:eastAsia="宋体" w:cs="Times New Roman"/>
                <w:color w:val="auto"/>
                <w:kern w:val="0"/>
                <w:sz w:val="21"/>
                <w:szCs w:val="21"/>
                <w:lang w:val="zh-CN"/>
              </w:rPr>
              <w:t>5</w:t>
            </w:r>
          </w:p>
        </w:tc>
        <w:tc>
          <w:tcPr>
            <w:tcW w:w="2835" w:type="dxa"/>
          </w:tcPr>
          <w:p>
            <w:pPr>
              <w:adjustRightInd w:val="0"/>
              <w:snapToGrid w:val="0"/>
              <w:jc w:val="center"/>
              <w:rPr>
                <w:rFonts w:ascii="Times New Roman" w:hAnsi="Times New Roman" w:eastAsia="宋体" w:cs="Times New Roman"/>
                <w:color w:val="auto"/>
                <w:kern w:val="0"/>
                <w:sz w:val="21"/>
                <w:szCs w:val="21"/>
                <w:lang w:val="zh-CN"/>
              </w:rPr>
            </w:pPr>
            <w:r>
              <w:rPr>
                <w:rFonts w:hint="eastAsia" w:ascii="Times New Roman" w:hAnsi="Times New Roman" w:eastAsia="宋体" w:cs="Times New Roman"/>
                <w:color w:val="auto"/>
                <w:kern w:val="0"/>
                <w:sz w:val="21"/>
                <w:szCs w:val="21"/>
                <w:lang w:val="zh-CN"/>
              </w:rPr>
              <w:t>镉</w:t>
            </w:r>
          </w:p>
        </w:tc>
        <w:tc>
          <w:tcPr>
            <w:tcW w:w="2924" w:type="dxa"/>
          </w:tcPr>
          <w:p>
            <w:pPr>
              <w:adjustRightInd w:val="0"/>
              <w:snapToGrid w:val="0"/>
              <w:jc w:val="center"/>
              <w:rPr>
                <w:rFonts w:ascii="Times New Roman" w:hAnsi="Times New Roman" w:eastAsia="宋体" w:cs="Times New Roman"/>
                <w:color w:val="auto"/>
                <w:kern w:val="0"/>
                <w:sz w:val="21"/>
                <w:szCs w:val="21"/>
                <w:lang w:val="zh-CN"/>
              </w:rPr>
            </w:pPr>
            <w:r>
              <w:rPr>
                <w:rFonts w:ascii="Times New Roman" w:hAnsi="Times New Roman" w:eastAsia="宋体" w:cs="Times New Roman"/>
                <w:color w:val="auto"/>
                <w:kern w:val="0"/>
                <w:sz w:val="21"/>
                <w:szCs w:val="21"/>
                <w:lang w:val="zh-CN"/>
              </w:rPr>
              <w:t>0.15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tcPr>
          <w:p>
            <w:pPr>
              <w:adjustRightInd w:val="0"/>
              <w:snapToGrid w:val="0"/>
              <w:jc w:val="center"/>
              <w:rPr>
                <w:rFonts w:ascii="Times New Roman" w:hAnsi="Times New Roman" w:eastAsia="宋体" w:cs="Times New Roman"/>
                <w:color w:val="auto"/>
                <w:kern w:val="0"/>
                <w:sz w:val="21"/>
                <w:szCs w:val="21"/>
                <w:lang w:val="zh-CN"/>
              </w:rPr>
            </w:pPr>
            <w:r>
              <w:rPr>
                <w:rFonts w:ascii="Times New Roman" w:hAnsi="Times New Roman" w:eastAsia="宋体" w:cs="Times New Roman"/>
                <w:color w:val="auto"/>
                <w:kern w:val="0"/>
                <w:sz w:val="21"/>
                <w:szCs w:val="21"/>
                <w:lang w:val="zh-CN"/>
              </w:rPr>
              <w:t>6</w:t>
            </w:r>
          </w:p>
        </w:tc>
        <w:tc>
          <w:tcPr>
            <w:tcW w:w="2835" w:type="dxa"/>
          </w:tcPr>
          <w:p>
            <w:pPr>
              <w:adjustRightInd w:val="0"/>
              <w:snapToGrid w:val="0"/>
              <w:jc w:val="center"/>
              <w:rPr>
                <w:rFonts w:ascii="Times New Roman" w:hAnsi="Times New Roman" w:eastAsia="宋体" w:cs="Times New Roman"/>
                <w:color w:val="auto"/>
                <w:kern w:val="0"/>
                <w:sz w:val="21"/>
                <w:szCs w:val="21"/>
                <w:lang w:val="zh-CN"/>
              </w:rPr>
            </w:pPr>
            <w:r>
              <w:rPr>
                <w:rFonts w:hint="eastAsia" w:ascii="Times New Roman" w:hAnsi="Times New Roman" w:eastAsia="宋体" w:cs="Times New Roman"/>
                <w:color w:val="auto"/>
                <w:kern w:val="0"/>
                <w:sz w:val="21"/>
                <w:szCs w:val="21"/>
                <w:lang w:val="zh-CN"/>
              </w:rPr>
              <w:t>铍</w:t>
            </w:r>
          </w:p>
        </w:tc>
        <w:tc>
          <w:tcPr>
            <w:tcW w:w="2924" w:type="dxa"/>
          </w:tcPr>
          <w:p>
            <w:pPr>
              <w:adjustRightInd w:val="0"/>
              <w:snapToGrid w:val="0"/>
              <w:jc w:val="center"/>
              <w:rPr>
                <w:rFonts w:ascii="Times New Roman" w:hAnsi="Times New Roman" w:eastAsia="宋体" w:cs="Times New Roman"/>
                <w:color w:val="auto"/>
                <w:kern w:val="0"/>
                <w:sz w:val="21"/>
                <w:szCs w:val="21"/>
                <w:lang w:val="zh-CN"/>
              </w:rPr>
            </w:pPr>
            <w:r>
              <w:rPr>
                <w:rFonts w:ascii="Times New Roman" w:hAnsi="Times New Roman" w:eastAsia="宋体" w:cs="Times New Roman"/>
                <w:color w:val="auto"/>
                <w:kern w:val="0"/>
                <w:sz w:val="21"/>
                <w:szCs w:val="21"/>
                <w:lang w:val="zh-CN"/>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tcPr>
          <w:p>
            <w:pPr>
              <w:adjustRightInd w:val="0"/>
              <w:snapToGrid w:val="0"/>
              <w:jc w:val="center"/>
              <w:rPr>
                <w:rFonts w:ascii="Times New Roman" w:hAnsi="Times New Roman" w:eastAsia="宋体" w:cs="Times New Roman"/>
                <w:color w:val="auto"/>
                <w:kern w:val="0"/>
                <w:sz w:val="21"/>
                <w:szCs w:val="21"/>
                <w:lang w:val="zh-CN"/>
              </w:rPr>
            </w:pPr>
            <w:r>
              <w:rPr>
                <w:rFonts w:ascii="Times New Roman" w:hAnsi="Times New Roman" w:eastAsia="宋体" w:cs="Times New Roman"/>
                <w:color w:val="auto"/>
                <w:kern w:val="0"/>
                <w:sz w:val="21"/>
                <w:szCs w:val="21"/>
                <w:lang w:val="zh-CN"/>
              </w:rPr>
              <w:t>7</w:t>
            </w:r>
          </w:p>
        </w:tc>
        <w:tc>
          <w:tcPr>
            <w:tcW w:w="2835" w:type="dxa"/>
          </w:tcPr>
          <w:p>
            <w:pPr>
              <w:adjustRightInd w:val="0"/>
              <w:snapToGrid w:val="0"/>
              <w:jc w:val="center"/>
              <w:rPr>
                <w:rFonts w:ascii="Times New Roman" w:hAnsi="Times New Roman" w:eastAsia="宋体" w:cs="Times New Roman"/>
                <w:color w:val="auto"/>
                <w:kern w:val="0"/>
                <w:sz w:val="21"/>
                <w:szCs w:val="21"/>
                <w:lang w:val="zh-CN"/>
              </w:rPr>
            </w:pPr>
            <w:r>
              <w:rPr>
                <w:rFonts w:hint="eastAsia" w:ascii="Times New Roman" w:hAnsi="Times New Roman" w:eastAsia="宋体" w:cs="Times New Roman"/>
                <w:color w:val="auto"/>
                <w:kern w:val="0"/>
                <w:sz w:val="21"/>
                <w:szCs w:val="21"/>
                <w:lang w:val="zh-CN"/>
              </w:rPr>
              <w:t>钡</w:t>
            </w:r>
          </w:p>
        </w:tc>
        <w:tc>
          <w:tcPr>
            <w:tcW w:w="2924" w:type="dxa"/>
          </w:tcPr>
          <w:p>
            <w:pPr>
              <w:adjustRightInd w:val="0"/>
              <w:snapToGrid w:val="0"/>
              <w:jc w:val="center"/>
              <w:rPr>
                <w:rFonts w:ascii="Times New Roman" w:hAnsi="Times New Roman" w:eastAsia="宋体" w:cs="Times New Roman"/>
                <w:color w:val="auto"/>
                <w:kern w:val="0"/>
                <w:sz w:val="21"/>
                <w:szCs w:val="21"/>
                <w:lang w:val="zh-CN"/>
              </w:rPr>
            </w:pPr>
            <w:r>
              <w:rPr>
                <w:rFonts w:ascii="Times New Roman" w:hAnsi="Times New Roman" w:eastAsia="宋体" w:cs="Times New Roman"/>
                <w:color w:val="auto"/>
                <w:kern w:val="0"/>
                <w:sz w:val="21"/>
                <w:szCs w:val="21"/>
                <w:lang w:val="zh-CN"/>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tcPr>
          <w:p>
            <w:pPr>
              <w:adjustRightInd w:val="0"/>
              <w:snapToGrid w:val="0"/>
              <w:jc w:val="center"/>
              <w:rPr>
                <w:rFonts w:ascii="Times New Roman" w:hAnsi="Times New Roman" w:eastAsia="宋体" w:cs="Times New Roman"/>
                <w:color w:val="auto"/>
                <w:kern w:val="0"/>
                <w:sz w:val="21"/>
                <w:szCs w:val="21"/>
                <w:lang w:val="zh-CN"/>
              </w:rPr>
            </w:pPr>
            <w:r>
              <w:rPr>
                <w:rFonts w:ascii="Times New Roman" w:hAnsi="Times New Roman" w:eastAsia="宋体" w:cs="Times New Roman"/>
                <w:color w:val="auto"/>
                <w:kern w:val="0"/>
                <w:sz w:val="21"/>
                <w:szCs w:val="21"/>
                <w:lang w:val="zh-CN"/>
              </w:rPr>
              <w:t>8</w:t>
            </w:r>
          </w:p>
        </w:tc>
        <w:tc>
          <w:tcPr>
            <w:tcW w:w="2835" w:type="dxa"/>
          </w:tcPr>
          <w:p>
            <w:pPr>
              <w:adjustRightInd w:val="0"/>
              <w:snapToGrid w:val="0"/>
              <w:jc w:val="center"/>
              <w:rPr>
                <w:rFonts w:ascii="Times New Roman" w:hAnsi="Times New Roman" w:eastAsia="宋体" w:cs="Times New Roman"/>
                <w:color w:val="auto"/>
                <w:kern w:val="0"/>
                <w:sz w:val="21"/>
                <w:szCs w:val="21"/>
                <w:lang w:val="zh-CN"/>
              </w:rPr>
            </w:pPr>
            <w:r>
              <w:rPr>
                <w:rFonts w:hint="eastAsia" w:ascii="Times New Roman" w:hAnsi="Times New Roman" w:eastAsia="宋体" w:cs="Times New Roman"/>
                <w:color w:val="auto"/>
                <w:kern w:val="0"/>
                <w:sz w:val="21"/>
                <w:szCs w:val="21"/>
                <w:lang w:val="zh-CN"/>
              </w:rPr>
              <w:t>镍</w:t>
            </w:r>
          </w:p>
        </w:tc>
        <w:tc>
          <w:tcPr>
            <w:tcW w:w="2924" w:type="dxa"/>
          </w:tcPr>
          <w:p>
            <w:pPr>
              <w:adjustRightInd w:val="0"/>
              <w:snapToGrid w:val="0"/>
              <w:jc w:val="center"/>
              <w:rPr>
                <w:rFonts w:ascii="Times New Roman" w:hAnsi="Times New Roman" w:eastAsia="宋体" w:cs="Times New Roman"/>
                <w:color w:val="auto"/>
                <w:kern w:val="0"/>
                <w:sz w:val="21"/>
                <w:szCs w:val="21"/>
                <w:lang w:val="zh-CN"/>
              </w:rPr>
            </w:pPr>
            <w:r>
              <w:rPr>
                <w:rFonts w:ascii="Times New Roman" w:hAnsi="Times New Roman" w:eastAsia="宋体" w:cs="Times New Roman"/>
                <w:color w:val="auto"/>
                <w:kern w:val="0"/>
                <w:sz w:val="21"/>
                <w:szCs w:val="21"/>
                <w:lang w:val="zh-CN"/>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tcPr>
          <w:p>
            <w:pPr>
              <w:adjustRightInd w:val="0"/>
              <w:snapToGrid w:val="0"/>
              <w:jc w:val="center"/>
              <w:rPr>
                <w:rFonts w:ascii="Times New Roman" w:hAnsi="Times New Roman" w:eastAsia="宋体" w:cs="Times New Roman"/>
                <w:color w:val="auto"/>
                <w:kern w:val="0"/>
                <w:sz w:val="21"/>
                <w:szCs w:val="21"/>
                <w:lang w:val="zh-CN"/>
              </w:rPr>
            </w:pPr>
            <w:r>
              <w:rPr>
                <w:rFonts w:ascii="Times New Roman" w:hAnsi="Times New Roman" w:eastAsia="宋体" w:cs="Times New Roman"/>
                <w:color w:val="auto"/>
                <w:kern w:val="0"/>
                <w:sz w:val="21"/>
                <w:szCs w:val="21"/>
                <w:lang w:val="zh-CN"/>
              </w:rPr>
              <w:t>9</w:t>
            </w:r>
          </w:p>
        </w:tc>
        <w:tc>
          <w:tcPr>
            <w:tcW w:w="2835" w:type="dxa"/>
          </w:tcPr>
          <w:p>
            <w:pPr>
              <w:adjustRightInd w:val="0"/>
              <w:snapToGrid w:val="0"/>
              <w:jc w:val="center"/>
              <w:rPr>
                <w:rFonts w:ascii="Times New Roman" w:hAnsi="Times New Roman" w:eastAsia="宋体" w:cs="Times New Roman"/>
                <w:color w:val="auto"/>
                <w:kern w:val="0"/>
                <w:sz w:val="21"/>
                <w:szCs w:val="21"/>
                <w:lang w:val="zh-CN"/>
              </w:rPr>
            </w:pPr>
            <w:r>
              <w:rPr>
                <w:rFonts w:hint="eastAsia" w:ascii="Times New Roman" w:hAnsi="Times New Roman" w:eastAsia="宋体" w:cs="Times New Roman"/>
                <w:color w:val="auto"/>
                <w:kern w:val="0"/>
                <w:sz w:val="21"/>
                <w:szCs w:val="21"/>
                <w:lang w:val="zh-CN"/>
              </w:rPr>
              <w:t>砷</w:t>
            </w:r>
          </w:p>
        </w:tc>
        <w:tc>
          <w:tcPr>
            <w:tcW w:w="2924" w:type="dxa"/>
          </w:tcPr>
          <w:p>
            <w:pPr>
              <w:adjustRightInd w:val="0"/>
              <w:snapToGrid w:val="0"/>
              <w:jc w:val="center"/>
              <w:rPr>
                <w:rFonts w:ascii="Times New Roman" w:hAnsi="Times New Roman" w:eastAsia="宋体" w:cs="Times New Roman"/>
                <w:color w:val="auto"/>
                <w:kern w:val="0"/>
                <w:sz w:val="21"/>
                <w:szCs w:val="21"/>
                <w:lang w:val="zh-CN"/>
              </w:rPr>
            </w:pPr>
            <w:r>
              <w:rPr>
                <w:rFonts w:ascii="Times New Roman" w:hAnsi="Times New Roman" w:eastAsia="宋体" w:cs="Times New Roman"/>
                <w:color w:val="auto"/>
                <w:kern w:val="0"/>
                <w:sz w:val="21"/>
                <w:szCs w:val="21"/>
                <w:lang w:val="zh-CN"/>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tcPr>
          <w:p>
            <w:pPr>
              <w:adjustRightInd w:val="0"/>
              <w:snapToGrid w:val="0"/>
              <w:jc w:val="center"/>
              <w:rPr>
                <w:rFonts w:ascii="Times New Roman" w:hAnsi="Times New Roman" w:eastAsia="宋体" w:cs="Times New Roman"/>
                <w:color w:val="auto"/>
                <w:kern w:val="0"/>
                <w:sz w:val="21"/>
                <w:szCs w:val="21"/>
                <w:lang w:val="zh-CN"/>
              </w:rPr>
            </w:pPr>
            <w:r>
              <w:rPr>
                <w:rFonts w:ascii="Times New Roman" w:hAnsi="Times New Roman" w:eastAsia="宋体" w:cs="Times New Roman"/>
                <w:color w:val="auto"/>
                <w:kern w:val="0"/>
                <w:sz w:val="21"/>
                <w:szCs w:val="21"/>
                <w:lang w:val="zh-CN"/>
              </w:rPr>
              <w:t>10</w:t>
            </w:r>
          </w:p>
        </w:tc>
        <w:tc>
          <w:tcPr>
            <w:tcW w:w="2835" w:type="dxa"/>
          </w:tcPr>
          <w:p>
            <w:pPr>
              <w:adjustRightInd w:val="0"/>
              <w:snapToGrid w:val="0"/>
              <w:jc w:val="center"/>
              <w:rPr>
                <w:rFonts w:ascii="Times New Roman" w:hAnsi="Times New Roman" w:eastAsia="宋体" w:cs="Times New Roman"/>
                <w:color w:val="auto"/>
                <w:kern w:val="0"/>
                <w:sz w:val="21"/>
                <w:szCs w:val="21"/>
                <w:lang w:val="zh-CN"/>
              </w:rPr>
            </w:pPr>
            <w:r>
              <w:rPr>
                <w:rFonts w:hint="eastAsia" w:ascii="Times New Roman" w:hAnsi="Times New Roman" w:eastAsia="宋体" w:cs="Times New Roman"/>
                <w:color w:val="auto"/>
                <w:kern w:val="0"/>
                <w:sz w:val="21"/>
                <w:szCs w:val="21"/>
                <w:lang w:val="zh-CN"/>
              </w:rPr>
              <w:t>总铬</w:t>
            </w:r>
          </w:p>
        </w:tc>
        <w:tc>
          <w:tcPr>
            <w:tcW w:w="2924" w:type="dxa"/>
          </w:tcPr>
          <w:p>
            <w:pPr>
              <w:adjustRightInd w:val="0"/>
              <w:snapToGrid w:val="0"/>
              <w:jc w:val="center"/>
              <w:rPr>
                <w:rFonts w:ascii="Times New Roman" w:hAnsi="Times New Roman" w:eastAsia="宋体" w:cs="Times New Roman"/>
                <w:color w:val="auto"/>
                <w:kern w:val="0"/>
                <w:sz w:val="21"/>
                <w:szCs w:val="21"/>
                <w:lang w:val="zh-CN"/>
              </w:rPr>
            </w:pPr>
            <w:r>
              <w:rPr>
                <w:rFonts w:ascii="Times New Roman" w:hAnsi="Times New Roman" w:eastAsia="宋体" w:cs="Times New Roman"/>
                <w:color w:val="auto"/>
                <w:kern w:val="0"/>
                <w:sz w:val="21"/>
                <w:szCs w:val="21"/>
                <w:lang w:val="zh-CN"/>
              </w:rPr>
              <w:t>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tcPr>
          <w:p>
            <w:pPr>
              <w:adjustRightInd w:val="0"/>
              <w:snapToGrid w:val="0"/>
              <w:jc w:val="center"/>
              <w:rPr>
                <w:rFonts w:ascii="Times New Roman" w:hAnsi="Times New Roman" w:eastAsia="宋体" w:cs="Times New Roman"/>
                <w:color w:val="auto"/>
                <w:kern w:val="0"/>
                <w:sz w:val="21"/>
                <w:szCs w:val="21"/>
                <w:lang w:val="zh-CN"/>
              </w:rPr>
            </w:pPr>
            <w:r>
              <w:rPr>
                <w:rFonts w:ascii="Times New Roman" w:hAnsi="Times New Roman" w:eastAsia="宋体" w:cs="Times New Roman"/>
                <w:color w:val="auto"/>
                <w:kern w:val="0"/>
                <w:sz w:val="21"/>
                <w:szCs w:val="21"/>
                <w:lang w:val="zh-CN"/>
              </w:rPr>
              <w:t>11</w:t>
            </w:r>
          </w:p>
        </w:tc>
        <w:tc>
          <w:tcPr>
            <w:tcW w:w="2835" w:type="dxa"/>
          </w:tcPr>
          <w:p>
            <w:pPr>
              <w:adjustRightInd w:val="0"/>
              <w:snapToGrid w:val="0"/>
              <w:jc w:val="center"/>
              <w:rPr>
                <w:rFonts w:ascii="Times New Roman" w:hAnsi="Times New Roman" w:eastAsia="宋体" w:cs="Times New Roman"/>
                <w:color w:val="auto"/>
                <w:kern w:val="0"/>
                <w:sz w:val="21"/>
                <w:szCs w:val="21"/>
                <w:lang w:val="zh-CN"/>
              </w:rPr>
            </w:pPr>
            <w:r>
              <w:rPr>
                <w:rFonts w:hint="eastAsia" w:ascii="Times New Roman" w:hAnsi="Times New Roman" w:eastAsia="宋体" w:cs="Times New Roman"/>
                <w:color w:val="auto"/>
                <w:kern w:val="0"/>
                <w:sz w:val="21"/>
                <w:szCs w:val="21"/>
                <w:lang w:val="zh-CN"/>
              </w:rPr>
              <w:t>六价铬</w:t>
            </w:r>
          </w:p>
        </w:tc>
        <w:tc>
          <w:tcPr>
            <w:tcW w:w="2924" w:type="dxa"/>
          </w:tcPr>
          <w:p>
            <w:pPr>
              <w:adjustRightInd w:val="0"/>
              <w:snapToGrid w:val="0"/>
              <w:jc w:val="center"/>
              <w:rPr>
                <w:rFonts w:ascii="Times New Roman" w:hAnsi="Times New Roman" w:eastAsia="宋体" w:cs="Times New Roman"/>
                <w:color w:val="auto"/>
                <w:kern w:val="0"/>
                <w:sz w:val="21"/>
                <w:szCs w:val="21"/>
                <w:lang w:val="zh-CN"/>
              </w:rPr>
            </w:pPr>
            <w:r>
              <w:rPr>
                <w:rFonts w:ascii="Times New Roman" w:hAnsi="Times New Roman" w:eastAsia="宋体" w:cs="Times New Roman"/>
                <w:color w:val="auto"/>
                <w:kern w:val="0"/>
                <w:sz w:val="21"/>
                <w:szCs w:val="21"/>
                <w:lang w:val="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tcPr>
          <w:p>
            <w:pPr>
              <w:adjustRightInd w:val="0"/>
              <w:snapToGrid w:val="0"/>
              <w:jc w:val="center"/>
              <w:rPr>
                <w:rFonts w:ascii="Times New Roman" w:hAnsi="Times New Roman" w:eastAsia="宋体" w:cs="Times New Roman"/>
                <w:color w:val="auto"/>
                <w:kern w:val="0"/>
                <w:sz w:val="21"/>
                <w:szCs w:val="21"/>
                <w:lang w:val="zh-CN"/>
              </w:rPr>
            </w:pPr>
            <w:r>
              <w:rPr>
                <w:rFonts w:ascii="Times New Roman" w:hAnsi="Times New Roman" w:eastAsia="宋体" w:cs="Times New Roman"/>
                <w:color w:val="auto"/>
                <w:kern w:val="0"/>
                <w:sz w:val="21"/>
                <w:szCs w:val="21"/>
                <w:lang w:val="zh-CN"/>
              </w:rPr>
              <w:t>12</w:t>
            </w:r>
          </w:p>
        </w:tc>
        <w:tc>
          <w:tcPr>
            <w:tcW w:w="2835" w:type="dxa"/>
          </w:tcPr>
          <w:p>
            <w:pPr>
              <w:adjustRightInd w:val="0"/>
              <w:snapToGrid w:val="0"/>
              <w:jc w:val="center"/>
              <w:rPr>
                <w:rFonts w:ascii="Times New Roman" w:hAnsi="Times New Roman" w:eastAsia="宋体" w:cs="Times New Roman"/>
                <w:color w:val="auto"/>
                <w:kern w:val="0"/>
                <w:sz w:val="21"/>
                <w:szCs w:val="21"/>
                <w:lang w:val="zh-CN"/>
              </w:rPr>
            </w:pPr>
            <w:r>
              <w:rPr>
                <w:rFonts w:hint="eastAsia" w:ascii="Times New Roman" w:hAnsi="Times New Roman" w:eastAsia="宋体" w:cs="Times New Roman"/>
                <w:color w:val="auto"/>
                <w:kern w:val="0"/>
                <w:sz w:val="21"/>
                <w:szCs w:val="21"/>
                <w:lang w:val="zh-CN"/>
              </w:rPr>
              <w:t>硒</w:t>
            </w:r>
          </w:p>
        </w:tc>
        <w:tc>
          <w:tcPr>
            <w:tcW w:w="2924" w:type="dxa"/>
          </w:tcPr>
          <w:p>
            <w:pPr>
              <w:adjustRightInd w:val="0"/>
              <w:snapToGrid w:val="0"/>
              <w:jc w:val="center"/>
              <w:rPr>
                <w:rFonts w:ascii="Times New Roman" w:hAnsi="Times New Roman" w:eastAsia="宋体" w:cs="Times New Roman"/>
                <w:color w:val="auto"/>
                <w:kern w:val="0"/>
                <w:sz w:val="21"/>
                <w:szCs w:val="21"/>
                <w:lang w:val="zh-CN"/>
              </w:rPr>
            </w:pPr>
            <w:r>
              <w:rPr>
                <w:rFonts w:ascii="Times New Roman" w:hAnsi="Times New Roman" w:eastAsia="宋体" w:cs="Times New Roman"/>
                <w:color w:val="auto"/>
                <w:kern w:val="0"/>
                <w:sz w:val="21"/>
                <w:szCs w:val="21"/>
                <w:lang w:val="zh-CN"/>
              </w:rPr>
              <w:t>0.1</w:t>
            </w:r>
          </w:p>
        </w:tc>
      </w:tr>
    </w:tbl>
    <w:p>
      <w:pPr>
        <w:pStyle w:val="32"/>
        <w:ind w:firstLine="480"/>
        <w:rPr>
          <w:color w:val="auto"/>
          <w:lang w:val="zh-CN"/>
        </w:rPr>
      </w:pPr>
      <w:r>
        <w:rPr>
          <w:color w:val="auto"/>
          <w:lang w:val="zh-CN"/>
        </w:rPr>
        <w:t>（2）工况不稳定，污染物排放达标难</w:t>
      </w:r>
      <w:r>
        <w:rPr>
          <w:rFonts w:hint="eastAsia"/>
          <w:color w:val="auto"/>
          <w:lang w:val="zh-CN"/>
        </w:rPr>
        <w:t>。当</w:t>
      </w:r>
      <w:r>
        <w:rPr>
          <w:color w:val="auto"/>
          <w:lang w:val="zh-CN"/>
        </w:rPr>
        <w:t>废物数量少，且来源、数量和性质相对不稳定</w:t>
      </w:r>
      <w:r>
        <w:rPr>
          <w:rFonts w:hint="eastAsia"/>
          <w:color w:val="auto"/>
          <w:lang w:val="zh-CN"/>
        </w:rPr>
        <w:t>时</w:t>
      </w:r>
      <w:r>
        <w:rPr>
          <w:color w:val="auto"/>
          <w:lang w:val="zh-CN"/>
        </w:rPr>
        <w:t>，选用焚烧、热解气化工艺势必造成对焚烧和尾气净化系统的冲击，频繁启炉、停炉，实际运行中无法按照理论设想的工作周期和工作状态运行，达标排放实现困难。</w:t>
      </w:r>
      <w:r>
        <w:rPr>
          <w:rFonts w:hint="eastAsia"/>
          <w:color w:val="auto"/>
          <w:lang w:val="zh-CN"/>
        </w:rPr>
        <w:t>除此之外，</w:t>
      </w:r>
      <w:r>
        <w:rPr>
          <w:color w:val="auto"/>
          <w:lang w:val="zh-CN"/>
        </w:rPr>
        <w:t>焚烧技术在处置医疗废物的过程中还产生二噁英</w:t>
      </w:r>
      <w:r>
        <w:rPr>
          <w:rFonts w:hint="eastAsia"/>
          <w:color w:val="auto"/>
          <w:lang w:val="zh-CN"/>
        </w:rPr>
        <w:t>类</w:t>
      </w:r>
      <w:r>
        <w:rPr>
          <w:color w:val="auto"/>
          <w:lang w:val="zh-CN"/>
        </w:rPr>
        <w:t>以及重金属等</w:t>
      </w:r>
      <w:r>
        <w:rPr>
          <w:rFonts w:hint="eastAsia"/>
          <w:color w:val="auto"/>
          <w:lang w:val="zh-CN"/>
        </w:rPr>
        <w:t>有毒有害物质</w:t>
      </w:r>
      <w:r>
        <w:rPr>
          <w:color w:val="auto"/>
          <w:lang w:val="zh-CN"/>
        </w:rPr>
        <w:t>，环境风险较大。</w:t>
      </w:r>
      <w:r>
        <w:rPr>
          <w:rFonts w:hint="eastAsia"/>
          <w:color w:val="auto"/>
          <w:lang w:val="en-US" w:eastAsia="zh-CN"/>
        </w:rPr>
        <w:t>根据调研文献试验表明，一般性危险废物焚烧温度在900℃~1000℃之间（医疗废物在850℃~950℃之间），气体停留时间在1.0s以上时，基本上可以破坏废物中有害成分，焚毁去除率可高于99.9%以上。而对于某些难处理的危险废物，如多氯联苯类（PCBs）和其他卤素废物，由于卤素的阻火效应，为彻底破坏二噁英，燃烧温度必须维持在1300℃以上，并且气体停留时间至少应维持在2.0s以上，还需要大量燃料燃烧。而医疗废物中含有大量的含氯有机物，在焚烧过程中控制不当极易产生二噁英类物质，需要特别控制。</w:t>
      </w:r>
      <w:r>
        <w:rPr>
          <w:rFonts w:hint="eastAsia"/>
          <w:color w:val="auto"/>
          <w:lang w:val="zh-CN"/>
        </w:rPr>
        <w:t>日益严格的环保排放限制对</w:t>
      </w:r>
      <w:r>
        <w:rPr>
          <w:color w:val="auto"/>
          <w:lang w:val="zh-CN"/>
        </w:rPr>
        <w:t>现有热解气化、焚烧技术</w:t>
      </w:r>
      <w:r>
        <w:rPr>
          <w:rFonts w:hint="eastAsia"/>
          <w:color w:val="auto"/>
          <w:lang w:val="zh-CN"/>
        </w:rPr>
        <w:t>的</w:t>
      </w:r>
      <w:r>
        <w:rPr>
          <w:color w:val="auto"/>
          <w:lang w:val="zh-CN"/>
        </w:rPr>
        <w:t>升级换代提出</w:t>
      </w:r>
      <w:r>
        <w:rPr>
          <w:rFonts w:hint="eastAsia"/>
          <w:color w:val="auto"/>
          <w:lang w:val="zh-CN"/>
        </w:rPr>
        <w:t>迫切的新要求</w:t>
      </w:r>
      <w:r>
        <w:rPr>
          <w:color w:val="auto"/>
          <w:lang w:val="zh-CN"/>
        </w:rPr>
        <w:t>。</w:t>
      </w:r>
    </w:p>
    <w:p>
      <w:pPr>
        <w:pStyle w:val="23"/>
        <w:numPr>
          <w:ilvl w:val="0"/>
          <w:numId w:val="6"/>
        </w:numPr>
        <w:spacing w:line="336" w:lineRule="auto"/>
        <w:ind w:firstLineChars="0"/>
        <w:rPr>
          <w:rFonts w:ascii="Times New Roman" w:hAnsi="Times New Roman" w:eastAsia="宋体" w:cs="Times New Roman"/>
          <w:color w:val="auto"/>
          <w:kern w:val="0"/>
          <w:sz w:val="24"/>
          <w:szCs w:val="24"/>
          <w:lang w:val="zh-CN"/>
        </w:rPr>
      </w:pPr>
      <w:r>
        <w:rPr>
          <w:rFonts w:hint="eastAsia" w:ascii="Times New Roman" w:hAnsi="Times New Roman" w:eastAsia="宋体" w:cs="Times New Roman"/>
          <w:color w:val="auto"/>
          <w:kern w:val="0"/>
          <w:sz w:val="24"/>
          <w:szCs w:val="24"/>
          <w:lang w:val="zh-CN"/>
        </w:rPr>
        <w:t>医疗废物等离子体处置技术</w:t>
      </w:r>
    </w:p>
    <w:p>
      <w:pPr>
        <w:pStyle w:val="32"/>
        <w:ind w:firstLine="480"/>
        <w:rPr>
          <w:rFonts w:hint="default" w:eastAsia="宋体"/>
          <w:color w:val="auto"/>
          <w:szCs w:val="24"/>
          <w:lang w:val="en-US" w:eastAsia="zh-CN"/>
        </w:rPr>
      </w:pPr>
      <w:r>
        <w:rPr>
          <w:rFonts w:hint="eastAsia"/>
          <w:color w:val="auto"/>
        </w:rPr>
        <w:t>等离子体是有别于固态、液态和气态的物质第四态，具有极高能量密度、富含化学反应活性粒子、达上万度的高温、反应气氛可调等独有特性。同时，由于在等离子体内部，含有大量的离子、电子、激发态原子以及自由基等，可以使许多在其他条件下极难发生的化学反应得以进行。由于其</w:t>
      </w:r>
      <w:r>
        <w:rPr>
          <w:rFonts w:hint="eastAsia"/>
          <w:color w:val="auto"/>
          <w:szCs w:val="24"/>
        </w:rPr>
        <w:t>高能量密度、高温（局部温度可达到5000℃）</w:t>
      </w:r>
      <w:r>
        <w:rPr>
          <w:rFonts w:hint="eastAsia"/>
          <w:color w:val="auto"/>
        </w:rPr>
        <w:t>，利用等离子体几乎能将碳基废物中的所有有机物完全转化成合成气（主要为</w:t>
      </w:r>
      <w:r>
        <w:rPr>
          <w:color w:val="auto"/>
        </w:rPr>
        <w:t>CO和H</w:t>
      </w:r>
      <w:r>
        <w:rPr>
          <w:color w:val="auto"/>
          <w:vertAlign w:val="subscript"/>
        </w:rPr>
        <w:t>2</w:t>
      </w:r>
      <w:r>
        <w:rPr>
          <w:color w:val="auto"/>
        </w:rPr>
        <w:t>），合成气中的焦油被有效去除，燃烧更加完全。</w:t>
      </w:r>
      <w:bookmarkStart w:id="21" w:name="_Hlk125988116"/>
      <w:r>
        <w:rPr>
          <w:rFonts w:hint="eastAsia"/>
          <w:color w:val="auto"/>
        </w:rPr>
        <w:t>此外</w:t>
      </w:r>
      <w:r>
        <w:rPr>
          <w:color w:val="auto"/>
        </w:rPr>
        <w:t>，在等离子体作用下，有毒有机物尤其是二噁英类物质等被彻底分解为无毒的小分子物质，二噁英</w:t>
      </w:r>
      <w:r>
        <w:rPr>
          <w:rFonts w:hint="eastAsia"/>
          <w:color w:val="auto"/>
        </w:rPr>
        <w:t>类物质的焚毁去除率可达</w:t>
      </w:r>
      <w:r>
        <w:rPr>
          <w:color w:val="auto"/>
        </w:rPr>
        <w:t>99.9999%</w:t>
      </w:r>
      <w:r>
        <w:rPr>
          <w:rFonts w:hint="eastAsia"/>
          <w:color w:val="auto"/>
          <w:szCs w:val="24"/>
        </w:rPr>
        <w:t>，生成物中几乎不包含二噁英类物质前体物，从而抑制了二噁英类物质的生成。</w:t>
      </w:r>
      <w:bookmarkEnd w:id="21"/>
      <w:r>
        <w:rPr>
          <w:rFonts w:hint="eastAsia"/>
          <w:color w:val="auto"/>
          <w:szCs w:val="24"/>
          <w:lang w:val="en-US" w:eastAsia="zh-CN"/>
        </w:rPr>
        <w:t>由于二噁英及呋喃都是由氧原子键合含氯苯环，如果在没有氧的环境下裂解，则切断了二噁英及呋喃的再合成途径，因此基本在还原气氛下进行处理的热解和等离子体热解，排放的二噁英及呋喃浓度极低。</w:t>
      </w:r>
    </w:p>
    <w:p>
      <w:pPr>
        <w:pStyle w:val="32"/>
        <w:ind w:firstLine="480"/>
        <w:rPr>
          <w:color w:val="auto"/>
        </w:rPr>
      </w:pPr>
      <w:r>
        <w:rPr>
          <w:color w:val="auto"/>
        </w:rPr>
        <w:t>利用等离子体技</w:t>
      </w:r>
      <w:r>
        <w:rPr>
          <w:rFonts w:hint="eastAsia"/>
          <w:color w:val="auto"/>
        </w:rPr>
        <w:t>术产生的高温可以对医疗废物进行热处理，使有机垃圾迅速得到脱水、热解、裂解，最后产生以</w:t>
      </w:r>
      <w:r>
        <w:rPr>
          <w:color w:val="auto"/>
        </w:rPr>
        <w:t>H</w:t>
      </w:r>
      <w:r>
        <w:rPr>
          <w:color w:val="auto"/>
          <w:vertAlign w:val="subscript"/>
        </w:rPr>
        <w:t>2</w:t>
      </w:r>
      <w:r>
        <w:rPr>
          <w:color w:val="auto"/>
        </w:rPr>
        <w:t>、CO、CH</w:t>
      </w:r>
      <w:r>
        <w:rPr>
          <w:color w:val="auto"/>
          <w:vertAlign w:val="subscript"/>
        </w:rPr>
        <w:t>4</w:t>
      </w:r>
      <w:r>
        <w:rPr>
          <w:color w:val="auto"/>
        </w:rPr>
        <w:t>和部分低碳烃等为主要成分的混合可燃性气体，再经过二次燃烧使之达到减容减量化的目的。在此过程中，所有传染性病毒和其他病毒将会被全部分解，病原菌和各种微生物被彻底消灭，最终达到无毒无害化。不可燃的无机成分经等离子体高温处理后则转变成</w:t>
      </w:r>
      <w:r>
        <w:rPr>
          <w:rFonts w:hint="eastAsia"/>
          <w:color w:val="auto"/>
        </w:rPr>
        <w:t>熔融固化体</w:t>
      </w:r>
      <w:r>
        <w:rPr>
          <w:color w:val="auto"/>
        </w:rPr>
        <w:t>，可作为建筑材料而资源化利用。</w:t>
      </w:r>
    </w:p>
    <w:p>
      <w:pPr>
        <w:pStyle w:val="32"/>
        <w:ind w:firstLine="480"/>
        <w:rPr>
          <w:color w:val="auto"/>
        </w:rPr>
      </w:pPr>
      <w:r>
        <w:rPr>
          <w:color w:val="auto"/>
        </w:rPr>
        <w:t>等离子体处置技术可以处理与焚烧炉类型相同的废物，</w:t>
      </w:r>
      <w:r>
        <w:rPr>
          <w:rFonts w:hint="eastAsia"/>
          <w:color w:val="auto"/>
        </w:rPr>
        <w:t>针对医疗废物的处置</w:t>
      </w:r>
      <w:r>
        <w:rPr>
          <w:color w:val="auto"/>
        </w:rPr>
        <w:t>具有极其明显的优势：</w:t>
      </w:r>
    </w:p>
    <w:p>
      <w:pPr>
        <w:pStyle w:val="32"/>
        <w:ind w:firstLine="480"/>
        <w:rPr>
          <w:color w:val="auto"/>
        </w:rPr>
      </w:pPr>
      <w:r>
        <w:rPr>
          <w:color w:val="auto"/>
        </w:rPr>
        <w:t>（1）无害化更彻底：</w:t>
      </w:r>
      <w:r>
        <w:rPr>
          <w:rFonts w:hint="eastAsia"/>
          <w:color w:val="auto"/>
        </w:rPr>
        <w:t>医疗废物经等离子体技术处置后可达到一次性完全灭菌效果，且污染物排放水平更低，</w:t>
      </w:r>
      <w:r>
        <w:rPr>
          <w:color w:val="auto"/>
        </w:rPr>
        <w:t>可以满足中国《医疗废物处理处置污染控制标准》（GB 39707）或欧盟2010标准，尤其是二噁英</w:t>
      </w:r>
      <w:r>
        <w:rPr>
          <w:rFonts w:hint="eastAsia"/>
          <w:color w:val="auto"/>
        </w:rPr>
        <w:t>类物质</w:t>
      </w:r>
      <w:r>
        <w:rPr>
          <w:color w:val="auto"/>
        </w:rPr>
        <w:t>排放极低</w:t>
      </w:r>
      <w:r>
        <w:rPr>
          <w:rFonts w:hint="eastAsia"/>
          <w:color w:val="auto"/>
        </w:rPr>
        <w:t>，</w:t>
      </w:r>
      <w:r>
        <w:rPr>
          <w:color w:val="auto"/>
        </w:rPr>
        <w:t>排放水平比同等类型的焚烧炉制定的排放标准低一到三个数量级。</w:t>
      </w:r>
    </w:p>
    <w:p>
      <w:pPr>
        <w:pStyle w:val="32"/>
        <w:ind w:firstLine="480"/>
        <w:rPr>
          <w:color w:val="auto"/>
        </w:rPr>
      </w:pPr>
      <w:r>
        <w:rPr>
          <w:color w:val="auto"/>
        </w:rPr>
        <w:t>（2）原料适应性更广：等离子体技术可以</w:t>
      </w:r>
      <w:r>
        <w:rPr>
          <w:rFonts w:hint="eastAsia"/>
          <w:color w:val="auto"/>
        </w:rPr>
        <w:t>处置</w:t>
      </w:r>
      <w:r>
        <w:rPr>
          <w:color w:val="auto"/>
        </w:rPr>
        <w:t>全部5类医疗废物（含汞的除外），</w:t>
      </w:r>
      <w:r>
        <w:rPr>
          <w:rFonts w:hint="eastAsia"/>
          <w:color w:val="auto"/>
        </w:rPr>
        <w:t>包括</w:t>
      </w:r>
      <w:r>
        <w:rPr>
          <w:color w:val="auto"/>
        </w:rPr>
        <w:t>感染性、损伤性、病理性、化学性、药物性废物</w:t>
      </w:r>
      <w:r>
        <w:rPr>
          <w:rFonts w:hint="eastAsia"/>
          <w:color w:val="auto"/>
        </w:rPr>
        <w:t>，还包括疫情等特殊情况下带有传染性的生活垃圾、医疗卫生机构污水处置系统产生的污泥，以及其它具有感染性的废物等。</w:t>
      </w:r>
    </w:p>
    <w:p>
      <w:pPr>
        <w:pStyle w:val="32"/>
        <w:ind w:firstLine="480"/>
        <w:rPr>
          <w:color w:val="auto"/>
        </w:rPr>
      </w:pPr>
      <w:r>
        <w:rPr>
          <w:color w:val="auto"/>
        </w:rPr>
        <w:t>（3）减容比高：</w:t>
      </w:r>
      <w:r>
        <w:rPr>
          <w:rFonts w:hint="eastAsia"/>
          <w:color w:val="auto"/>
        </w:rPr>
        <w:t>采用</w:t>
      </w:r>
      <w:r>
        <w:rPr>
          <w:color w:val="auto"/>
        </w:rPr>
        <w:t>等离子体</w:t>
      </w:r>
      <w:r>
        <w:rPr>
          <w:rFonts w:hint="eastAsia"/>
          <w:color w:val="auto"/>
        </w:rPr>
        <w:t>熔融</w:t>
      </w:r>
      <w:r>
        <w:rPr>
          <w:color w:val="auto"/>
        </w:rPr>
        <w:t>处置</w:t>
      </w:r>
      <w:r>
        <w:rPr>
          <w:rFonts w:hint="eastAsia"/>
          <w:color w:val="auto"/>
        </w:rPr>
        <w:t>技术</w:t>
      </w:r>
      <w:r>
        <w:rPr>
          <w:color w:val="auto"/>
        </w:rPr>
        <w:t>能使</w:t>
      </w:r>
      <w:r>
        <w:rPr>
          <w:rFonts w:hint="eastAsia"/>
          <w:color w:val="auto"/>
        </w:rPr>
        <w:t>医疗废物</w:t>
      </w:r>
      <w:r>
        <w:rPr>
          <w:color w:val="auto"/>
        </w:rPr>
        <w:t>体积明显减少，减容率≥95%</w:t>
      </w:r>
      <w:r>
        <w:rPr>
          <w:rFonts w:hint="eastAsia"/>
          <w:color w:val="auto"/>
        </w:rPr>
        <w:t>，优于回转窑和热解气化焚烧处置效果。</w:t>
      </w:r>
      <w:r>
        <w:rPr>
          <w:color w:val="auto"/>
        </w:rPr>
        <w:t>医疗废物中的</w:t>
      </w:r>
      <w:r>
        <w:rPr>
          <w:rFonts w:hint="eastAsia"/>
          <w:color w:val="auto"/>
        </w:rPr>
        <w:t>有机物几乎全部转化为合成气、</w:t>
      </w:r>
      <w:r>
        <w:rPr>
          <w:color w:val="auto"/>
        </w:rPr>
        <w:t>无机物转化成</w:t>
      </w:r>
      <w:r>
        <w:rPr>
          <w:rFonts w:hint="eastAsia"/>
          <w:color w:val="auto"/>
        </w:rPr>
        <w:t>理化性质非常</w:t>
      </w:r>
      <w:r>
        <w:rPr>
          <w:color w:val="auto"/>
        </w:rPr>
        <w:t>稳定的玻璃体。</w:t>
      </w:r>
    </w:p>
    <w:p>
      <w:pPr>
        <w:pStyle w:val="32"/>
        <w:ind w:firstLine="480"/>
        <w:rPr>
          <w:color w:val="auto"/>
        </w:rPr>
      </w:pPr>
      <w:r>
        <w:rPr>
          <w:color w:val="auto"/>
        </w:rPr>
        <w:t>（4）资源化程度高：热能可回收利用，依据项目当地情况选择对外供蒸汽、供热或发电</w:t>
      </w:r>
      <w:r>
        <w:rPr>
          <w:rFonts w:hint="eastAsia"/>
          <w:color w:val="auto"/>
        </w:rPr>
        <w:t>，熔融固化体可作为建筑材料而资源化利用</w:t>
      </w:r>
      <w:r>
        <w:rPr>
          <w:color w:val="auto"/>
        </w:rPr>
        <w:t>。</w:t>
      </w:r>
    </w:p>
    <w:p>
      <w:pPr>
        <w:pStyle w:val="4"/>
        <w:rPr>
          <w:rFonts w:cs="Times New Roman"/>
          <w:color w:val="auto"/>
          <w:lang w:val="zh-CN"/>
        </w:rPr>
      </w:pPr>
      <w:bookmarkStart w:id="22" w:name="_Toc8582"/>
      <w:r>
        <w:rPr>
          <w:rFonts w:cs="Times New Roman"/>
          <w:color w:val="auto"/>
          <w:lang w:val="zh-CN"/>
        </w:rPr>
        <w:t>各种医疗废物处置技术的比较</w:t>
      </w:r>
      <w:bookmarkEnd w:id="22"/>
    </w:p>
    <w:p>
      <w:pPr>
        <w:pStyle w:val="32"/>
        <w:ind w:firstLine="480"/>
        <w:rPr>
          <w:color w:val="auto"/>
          <w:lang w:val="zh-CN"/>
        </w:rPr>
      </w:pPr>
      <w:r>
        <w:rPr>
          <w:rFonts w:hint="eastAsia"/>
          <w:color w:val="auto"/>
          <w:lang w:val="zh-CN"/>
        </w:rPr>
        <w:t>根据前面章节针对医疗废物低温处理技术和高温热处理处置技术的综合评估与分析，结合技术性能、环境影响、经济性能和社会条件等多项指标，对我国目前应用的主要医疗废物处理处置技术进行系统的分析与评估，如下表所示。</w:t>
      </w:r>
    </w:p>
    <w:p>
      <w:pPr>
        <w:pStyle w:val="23"/>
        <w:spacing w:line="336" w:lineRule="auto"/>
        <w:rPr>
          <w:rFonts w:ascii="Times New Roman" w:hAnsi="Times New Roman" w:eastAsia="宋体" w:cs="Times New Roman"/>
          <w:color w:val="auto"/>
          <w:kern w:val="0"/>
          <w:szCs w:val="21"/>
          <w:lang w:val="zh-CN"/>
        </w:rPr>
        <w:sectPr>
          <w:footerReference r:id="rId5" w:type="default"/>
          <w:endnotePr>
            <w:numFmt w:val="decimal"/>
          </w:endnotePr>
          <w:pgSz w:w="11906" w:h="16838"/>
          <w:pgMar w:top="1440" w:right="1800" w:bottom="1440" w:left="1800" w:header="851" w:footer="992" w:gutter="0"/>
          <w:pgNumType w:start="1"/>
          <w:cols w:space="425" w:num="1"/>
          <w:docGrid w:type="lines" w:linePitch="312" w:charSpace="0"/>
        </w:sectPr>
      </w:pPr>
    </w:p>
    <w:p>
      <w:pPr>
        <w:pStyle w:val="23"/>
        <w:numPr>
          <w:ilvl w:val="0"/>
          <w:numId w:val="3"/>
        </w:numPr>
        <w:spacing w:line="360" w:lineRule="auto"/>
        <w:ind w:firstLineChars="0"/>
        <w:jc w:val="center"/>
        <w:rPr>
          <w:rFonts w:ascii="Times New Roman" w:hAnsi="Times New Roman" w:eastAsia="宋体" w:cs="Times New Roman"/>
          <w:b/>
          <w:color w:val="auto"/>
          <w:szCs w:val="21"/>
        </w:rPr>
      </w:pPr>
      <w:r>
        <w:rPr>
          <w:rFonts w:hint="eastAsia" w:ascii="Times New Roman" w:hAnsi="Times New Roman" w:eastAsia="宋体" w:cs="Times New Roman"/>
          <w:b/>
          <w:color w:val="auto"/>
          <w:szCs w:val="21"/>
        </w:rPr>
        <w:t>我</w:t>
      </w:r>
      <w:r>
        <w:rPr>
          <w:rFonts w:ascii="Times New Roman" w:hAnsi="Times New Roman" w:eastAsia="宋体" w:cs="Times New Roman"/>
          <w:b/>
          <w:color w:val="auto"/>
          <w:szCs w:val="21"/>
        </w:rPr>
        <w:t>国主要医疗废物处置技术选择评估分析</w:t>
      </w:r>
    </w:p>
    <w:tbl>
      <w:tblPr>
        <w:tblStyle w:val="17"/>
        <w:tblW w:w="137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64"/>
        <w:gridCol w:w="1821"/>
        <w:gridCol w:w="2010"/>
        <w:gridCol w:w="1984"/>
        <w:gridCol w:w="1688"/>
        <w:gridCol w:w="1573"/>
        <w:gridCol w:w="1567"/>
        <w:gridCol w:w="15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64" w:type="dxa"/>
            <w:vMerge w:val="restart"/>
            <w:tcBorders>
              <w:tl2br w:val="single" w:color="auto" w:sz="4" w:space="0"/>
            </w:tcBorders>
            <w:vAlign w:val="center"/>
          </w:tcPr>
          <w:p>
            <w:pPr>
              <w:pStyle w:val="23"/>
              <w:ind w:firstLine="0" w:firstLineChars="0"/>
              <w:jc w:val="center"/>
              <w:rPr>
                <w:rFonts w:ascii="Times New Roman" w:hAnsi="Times New Roman" w:eastAsia="宋体" w:cs="Times New Roman"/>
                <w:b/>
                <w:color w:val="auto"/>
                <w:kern w:val="0"/>
                <w:sz w:val="18"/>
                <w:szCs w:val="18"/>
                <w:lang w:val="zh-CN"/>
              </w:rPr>
            </w:pPr>
            <w:r>
              <w:rPr>
                <w:rFonts w:ascii="Times New Roman" w:hAnsi="Times New Roman" w:eastAsia="宋体" w:cs="Times New Roman"/>
                <w:b/>
                <w:color w:val="auto"/>
                <w:kern w:val="0"/>
                <w:sz w:val="18"/>
                <w:szCs w:val="18"/>
                <w:lang w:val="zh-CN"/>
              </w:rPr>
              <w:t xml:space="preserve">    </w:t>
            </w:r>
            <w:r>
              <w:rPr>
                <w:rFonts w:hint="eastAsia" w:ascii="Times New Roman" w:hAnsi="Times New Roman" w:eastAsia="宋体" w:cs="Times New Roman"/>
                <w:b/>
                <w:color w:val="auto"/>
                <w:kern w:val="0"/>
                <w:sz w:val="18"/>
                <w:szCs w:val="18"/>
                <w:lang w:val="zh-CN"/>
              </w:rPr>
              <w:t>技术名称</w:t>
            </w:r>
          </w:p>
          <w:p>
            <w:pPr>
              <w:pStyle w:val="23"/>
              <w:ind w:firstLine="0" w:firstLineChars="0"/>
              <w:rPr>
                <w:rFonts w:ascii="Times New Roman" w:hAnsi="Times New Roman" w:eastAsia="宋体" w:cs="Times New Roman"/>
                <w:b/>
                <w:color w:val="auto"/>
                <w:kern w:val="0"/>
                <w:sz w:val="18"/>
                <w:szCs w:val="18"/>
                <w:lang w:val="zh-CN"/>
              </w:rPr>
            </w:pPr>
            <w:r>
              <w:rPr>
                <w:rFonts w:hint="eastAsia" w:ascii="Times New Roman" w:hAnsi="Times New Roman" w:eastAsia="宋体" w:cs="Times New Roman"/>
                <w:b/>
                <w:color w:val="auto"/>
                <w:kern w:val="0"/>
                <w:sz w:val="18"/>
                <w:szCs w:val="18"/>
                <w:lang w:val="zh-CN"/>
              </w:rPr>
              <w:t>技术特点</w:t>
            </w:r>
          </w:p>
        </w:tc>
        <w:tc>
          <w:tcPr>
            <w:tcW w:w="5815" w:type="dxa"/>
            <w:gridSpan w:val="3"/>
            <w:vAlign w:val="center"/>
          </w:tcPr>
          <w:p>
            <w:pPr>
              <w:pStyle w:val="23"/>
              <w:ind w:firstLine="0" w:firstLineChars="0"/>
              <w:jc w:val="center"/>
              <w:rPr>
                <w:rFonts w:ascii="Times New Roman" w:hAnsi="Times New Roman" w:eastAsia="宋体" w:cs="Times New Roman"/>
                <w:b/>
                <w:color w:val="auto"/>
                <w:kern w:val="0"/>
                <w:sz w:val="18"/>
                <w:szCs w:val="18"/>
                <w:lang w:val="zh-CN"/>
              </w:rPr>
            </w:pPr>
            <w:r>
              <w:rPr>
                <w:rFonts w:hint="eastAsia" w:ascii="Times New Roman" w:hAnsi="Times New Roman" w:eastAsia="宋体" w:cs="Times New Roman"/>
                <w:b/>
                <w:color w:val="auto"/>
                <w:kern w:val="0"/>
                <w:sz w:val="18"/>
                <w:szCs w:val="18"/>
                <w:lang w:val="zh-CN"/>
              </w:rPr>
              <w:t>高温热处理无害化处置技术</w:t>
            </w:r>
          </w:p>
        </w:tc>
        <w:tc>
          <w:tcPr>
            <w:tcW w:w="6379" w:type="dxa"/>
            <w:gridSpan w:val="4"/>
            <w:vAlign w:val="center"/>
          </w:tcPr>
          <w:p>
            <w:pPr>
              <w:pStyle w:val="23"/>
              <w:ind w:firstLine="0" w:firstLineChars="0"/>
              <w:jc w:val="center"/>
              <w:rPr>
                <w:rFonts w:ascii="Times New Roman" w:hAnsi="Times New Roman" w:eastAsia="宋体" w:cs="Times New Roman"/>
                <w:b/>
                <w:color w:val="auto"/>
                <w:kern w:val="0"/>
                <w:sz w:val="18"/>
                <w:szCs w:val="18"/>
                <w:lang w:val="zh-CN"/>
              </w:rPr>
            </w:pPr>
            <w:r>
              <w:rPr>
                <w:rFonts w:hint="eastAsia" w:ascii="Times New Roman" w:hAnsi="Times New Roman" w:eastAsia="宋体" w:cs="Times New Roman"/>
                <w:b/>
                <w:color w:val="auto"/>
                <w:kern w:val="0"/>
                <w:sz w:val="18"/>
                <w:szCs w:val="18"/>
                <w:lang w:val="zh-CN"/>
              </w:rPr>
              <w:t>低温无害化处理技术（消毒技术）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64" w:type="dxa"/>
            <w:vMerge w:val="continue"/>
            <w:tcBorders>
              <w:tl2br w:val="single" w:color="auto" w:sz="4" w:space="0"/>
            </w:tcBorders>
            <w:vAlign w:val="center"/>
          </w:tcPr>
          <w:p>
            <w:pPr>
              <w:pStyle w:val="23"/>
              <w:ind w:firstLine="0" w:firstLineChars="0"/>
              <w:jc w:val="center"/>
              <w:rPr>
                <w:rFonts w:ascii="Times New Roman" w:hAnsi="Times New Roman" w:eastAsia="宋体" w:cs="Times New Roman"/>
                <w:b/>
                <w:color w:val="auto"/>
                <w:kern w:val="0"/>
                <w:sz w:val="18"/>
                <w:szCs w:val="18"/>
                <w:lang w:val="zh-CN"/>
              </w:rPr>
            </w:pPr>
          </w:p>
        </w:tc>
        <w:tc>
          <w:tcPr>
            <w:tcW w:w="1821" w:type="dxa"/>
            <w:vAlign w:val="center"/>
          </w:tcPr>
          <w:p>
            <w:pPr>
              <w:pStyle w:val="23"/>
              <w:ind w:firstLine="0" w:firstLineChars="0"/>
              <w:jc w:val="center"/>
              <w:rPr>
                <w:rFonts w:ascii="Times New Roman" w:hAnsi="Times New Roman" w:eastAsia="宋体" w:cs="Times New Roman"/>
                <w:b/>
                <w:color w:val="auto"/>
                <w:kern w:val="0"/>
                <w:sz w:val="18"/>
                <w:szCs w:val="18"/>
                <w:lang w:val="zh-CN"/>
              </w:rPr>
            </w:pPr>
            <w:r>
              <w:rPr>
                <w:rFonts w:hint="eastAsia" w:ascii="Times New Roman" w:hAnsi="Times New Roman" w:eastAsia="宋体" w:cs="Times New Roman"/>
                <w:b/>
                <w:color w:val="auto"/>
                <w:kern w:val="0"/>
                <w:sz w:val="18"/>
                <w:szCs w:val="18"/>
                <w:lang w:val="zh-CN"/>
              </w:rPr>
              <w:t>回转窑焚烧</w:t>
            </w:r>
          </w:p>
        </w:tc>
        <w:tc>
          <w:tcPr>
            <w:tcW w:w="2010" w:type="dxa"/>
            <w:vAlign w:val="center"/>
          </w:tcPr>
          <w:p>
            <w:pPr>
              <w:pStyle w:val="23"/>
              <w:ind w:firstLine="0" w:firstLineChars="0"/>
              <w:jc w:val="center"/>
              <w:rPr>
                <w:rFonts w:ascii="Times New Roman" w:hAnsi="Times New Roman" w:eastAsia="宋体" w:cs="Times New Roman"/>
                <w:b/>
                <w:color w:val="auto"/>
                <w:kern w:val="0"/>
                <w:sz w:val="18"/>
                <w:szCs w:val="18"/>
                <w:lang w:val="zh-CN"/>
              </w:rPr>
            </w:pPr>
            <w:r>
              <w:rPr>
                <w:rFonts w:hint="eastAsia" w:ascii="Times New Roman" w:hAnsi="Times New Roman" w:eastAsia="宋体" w:cs="Times New Roman"/>
                <w:b/>
                <w:color w:val="auto"/>
                <w:kern w:val="0"/>
                <w:sz w:val="18"/>
                <w:szCs w:val="18"/>
                <w:lang w:val="zh-CN"/>
              </w:rPr>
              <w:t>热解焚烧</w:t>
            </w:r>
          </w:p>
        </w:tc>
        <w:tc>
          <w:tcPr>
            <w:tcW w:w="1984" w:type="dxa"/>
            <w:vAlign w:val="center"/>
          </w:tcPr>
          <w:p>
            <w:pPr>
              <w:pStyle w:val="23"/>
              <w:ind w:firstLine="0" w:firstLineChars="0"/>
              <w:jc w:val="center"/>
              <w:rPr>
                <w:rFonts w:ascii="Times New Roman" w:hAnsi="Times New Roman" w:eastAsia="宋体" w:cs="Times New Roman"/>
                <w:b/>
                <w:color w:val="auto"/>
                <w:kern w:val="0"/>
                <w:sz w:val="18"/>
                <w:szCs w:val="18"/>
                <w:lang w:val="zh-CN"/>
              </w:rPr>
            </w:pPr>
            <w:r>
              <w:rPr>
                <w:rFonts w:hint="eastAsia" w:ascii="Times New Roman" w:hAnsi="Times New Roman" w:eastAsia="宋体" w:cs="Times New Roman"/>
                <w:b/>
                <w:color w:val="auto"/>
                <w:kern w:val="0"/>
                <w:sz w:val="18"/>
                <w:szCs w:val="18"/>
                <w:lang w:val="zh-CN"/>
              </w:rPr>
              <w:t>等离子体处置</w:t>
            </w:r>
          </w:p>
        </w:tc>
        <w:tc>
          <w:tcPr>
            <w:tcW w:w="1688" w:type="dxa"/>
            <w:vAlign w:val="center"/>
          </w:tcPr>
          <w:p>
            <w:pPr>
              <w:pStyle w:val="23"/>
              <w:ind w:firstLine="0" w:firstLineChars="0"/>
              <w:jc w:val="center"/>
              <w:rPr>
                <w:rFonts w:ascii="Times New Roman" w:hAnsi="Times New Roman" w:eastAsia="宋体" w:cs="Times New Roman"/>
                <w:b/>
                <w:color w:val="auto"/>
                <w:kern w:val="0"/>
                <w:sz w:val="18"/>
                <w:szCs w:val="18"/>
                <w:lang w:val="zh-CN"/>
              </w:rPr>
            </w:pPr>
            <w:r>
              <w:rPr>
                <w:rFonts w:hint="eastAsia" w:ascii="Times New Roman" w:hAnsi="Times New Roman" w:eastAsia="宋体" w:cs="Times New Roman"/>
                <w:b/>
                <w:color w:val="auto"/>
                <w:kern w:val="0"/>
                <w:sz w:val="18"/>
                <w:szCs w:val="18"/>
                <w:lang w:val="zh-CN"/>
              </w:rPr>
              <w:t>高温蒸汽消毒</w:t>
            </w:r>
          </w:p>
        </w:tc>
        <w:tc>
          <w:tcPr>
            <w:tcW w:w="1573" w:type="dxa"/>
            <w:vAlign w:val="center"/>
          </w:tcPr>
          <w:p>
            <w:pPr>
              <w:pStyle w:val="23"/>
              <w:ind w:firstLine="0" w:firstLineChars="0"/>
              <w:jc w:val="center"/>
              <w:rPr>
                <w:rFonts w:ascii="Times New Roman" w:hAnsi="Times New Roman" w:eastAsia="宋体" w:cs="Times New Roman"/>
                <w:b/>
                <w:color w:val="auto"/>
                <w:kern w:val="0"/>
                <w:sz w:val="18"/>
                <w:szCs w:val="18"/>
                <w:lang w:val="zh-CN"/>
              </w:rPr>
            </w:pPr>
            <w:r>
              <w:rPr>
                <w:rFonts w:hint="eastAsia" w:ascii="Times New Roman" w:hAnsi="Times New Roman" w:eastAsia="宋体" w:cs="Times New Roman"/>
                <w:b/>
                <w:color w:val="auto"/>
                <w:kern w:val="0"/>
                <w:sz w:val="18"/>
                <w:szCs w:val="18"/>
                <w:lang w:val="zh-CN"/>
              </w:rPr>
              <w:t>微波消毒</w:t>
            </w:r>
          </w:p>
        </w:tc>
        <w:tc>
          <w:tcPr>
            <w:tcW w:w="1567" w:type="dxa"/>
            <w:vAlign w:val="center"/>
          </w:tcPr>
          <w:p>
            <w:pPr>
              <w:pStyle w:val="23"/>
              <w:ind w:firstLine="0" w:firstLineChars="0"/>
              <w:jc w:val="center"/>
              <w:rPr>
                <w:rFonts w:ascii="Times New Roman" w:hAnsi="Times New Roman" w:eastAsia="宋体" w:cs="Times New Roman"/>
                <w:b/>
                <w:color w:val="auto"/>
                <w:kern w:val="0"/>
                <w:sz w:val="18"/>
                <w:szCs w:val="18"/>
                <w:lang w:val="zh-CN"/>
              </w:rPr>
            </w:pPr>
            <w:r>
              <w:rPr>
                <w:rFonts w:hint="eastAsia" w:ascii="Times New Roman" w:hAnsi="Times New Roman" w:eastAsia="宋体" w:cs="Times New Roman"/>
                <w:b/>
                <w:color w:val="auto"/>
                <w:kern w:val="0"/>
                <w:sz w:val="18"/>
                <w:szCs w:val="18"/>
                <w:lang w:val="zh-CN"/>
              </w:rPr>
              <w:t>化学消毒</w:t>
            </w:r>
          </w:p>
        </w:tc>
        <w:tc>
          <w:tcPr>
            <w:tcW w:w="1551" w:type="dxa"/>
            <w:vAlign w:val="center"/>
          </w:tcPr>
          <w:p>
            <w:pPr>
              <w:pStyle w:val="23"/>
              <w:ind w:firstLine="0" w:firstLineChars="0"/>
              <w:jc w:val="center"/>
              <w:rPr>
                <w:rFonts w:ascii="Times New Roman" w:hAnsi="Times New Roman" w:eastAsia="宋体" w:cs="Times New Roman"/>
                <w:b/>
                <w:color w:val="auto"/>
                <w:kern w:val="0"/>
                <w:sz w:val="18"/>
                <w:szCs w:val="18"/>
                <w:lang w:val="zh-CN"/>
              </w:rPr>
            </w:pPr>
            <w:r>
              <w:rPr>
                <w:rFonts w:hint="eastAsia" w:ascii="Times New Roman" w:hAnsi="Times New Roman" w:eastAsia="宋体" w:cs="Times New Roman"/>
                <w:b/>
                <w:color w:val="auto"/>
                <w:kern w:val="0"/>
                <w:sz w:val="18"/>
                <w:szCs w:val="18"/>
                <w:lang w:val="zh-CN"/>
              </w:rPr>
              <w:t>高温干热消毒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64"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适用范围</w:t>
            </w:r>
          </w:p>
        </w:tc>
        <w:tc>
          <w:tcPr>
            <w:tcW w:w="1821" w:type="dxa"/>
            <w:vAlign w:val="center"/>
          </w:tcPr>
          <w:p>
            <w:pPr>
              <w:pStyle w:val="23"/>
              <w:ind w:firstLine="0" w:firstLineChars="0"/>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感染性、病理性、损伤性、药物性和化学性医疗废物</w:t>
            </w:r>
          </w:p>
        </w:tc>
        <w:tc>
          <w:tcPr>
            <w:tcW w:w="2010" w:type="dxa"/>
            <w:vAlign w:val="center"/>
          </w:tcPr>
          <w:p>
            <w:pPr>
              <w:pStyle w:val="23"/>
              <w:ind w:firstLine="0" w:firstLineChars="0"/>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感染性、病理性、损伤性、药物性和化学性医疗废物</w:t>
            </w:r>
          </w:p>
        </w:tc>
        <w:tc>
          <w:tcPr>
            <w:tcW w:w="1984" w:type="dxa"/>
            <w:vAlign w:val="center"/>
          </w:tcPr>
          <w:p>
            <w:pPr>
              <w:pStyle w:val="23"/>
              <w:ind w:firstLine="0" w:firstLineChars="0"/>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感染性、病理性、损伤性、药物性和化学性医疗废物</w:t>
            </w:r>
          </w:p>
        </w:tc>
        <w:tc>
          <w:tcPr>
            <w:tcW w:w="1688" w:type="dxa"/>
            <w:vAlign w:val="center"/>
          </w:tcPr>
          <w:p>
            <w:pPr>
              <w:pStyle w:val="23"/>
              <w:ind w:firstLine="0" w:firstLineChars="0"/>
              <w:rPr>
                <w:rFonts w:ascii="Times New Roman" w:hAnsi="Times New Roman" w:eastAsia="宋体" w:cs="Times New Roman"/>
                <w:color w:val="auto"/>
                <w:kern w:val="0"/>
                <w:sz w:val="18"/>
                <w:szCs w:val="18"/>
              </w:rPr>
            </w:pPr>
            <w:r>
              <w:rPr>
                <w:rFonts w:hint="eastAsia" w:ascii="Times New Roman" w:hAnsi="Times New Roman" w:eastAsia="宋体" w:cs="Times New Roman"/>
                <w:color w:val="auto"/>
                <w:kern w:val="0"/>
                <w:sz w:val="18"/>
                <w:szCs w:val="18"/>
                <w:lang w:val="zh-CN"/>
              </w:rPr>
              <w:t>感染性、损伤性医疗废物</w:t>
            </w:r>
          </w:p>
        </w:tc>
        <w:tc>
          <w:tcPr>
            <w:tcW w:w="1573" w:type="dxa"/>
            <w:vAlign w:val="center"/>
          </w:tcPr>
          <w:p>
            <w:pPr>
              <w:pStyle w:val="23"/>
              <w:ind w:firstLine="0" w:firstLineChars="0"/>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感染性、损伤性和病理性</w:t>
            </w:r>
            <w:r>
              <w:rPr>
                <w:rFonts w:ascii="Times New Roman" w:hAnsi="Times New Roman" w:eastAsia="宋体" w:cs="Times New Roman"/>
                <w:color w:val="auto"/>
                <w:kern w:val="0"/>
                <w:sz w:val="18"/>
                <w:szCs w:val="18"/>
                <w:vertAlign w:val="superscript"/>
                <w:lang w:val="zh-CN"/>
              </w:rPr>
              <w:t>*</w:t>
            </w:r>
            <w:r>
              <w:rPr>
                <w:rFonts w:hint="eastAsia" w:ascii="Times New Roman" w:hAnsi="Times New Roman" w:eastAsia="宋体" w:cs="Times New Roman"/>
                <w:color w:val="auto"/>
                <w:kern w:val="0"/>
                <w:sz w:val="18"/>
                <w:szCs w:val="18"/>
                <w:lang w:val="zh-CN"/>
              </w:rPr>
              <w:t>医疗废物</w:t>
            </w:r>
          </w:p>
        </w:tc>
        <w:tc>
          <w:tcPr>
            <w:tcW w:w="1567" w:type="dxa"/>
            <w:vAlign w:val="center"/>
          </w:tcPr>
          <w:p>
            <w:pPr>
              <w:pStyle w:val="23"/>
              <w:ind w:firstLine="0" w:firstLineChars="0"/>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感染性、损伤性和病理性</w:t>
            </w:r>
            <w:r>
              <w:rPr>
                <w:rFonts w:ascii="Times New Roman" w:hAnsi="Times New Roman" w:eastAsia="宋体" w:cs="Times New Roman"/>
                <w:color w:val="auto"/>
                <w:kern w:val="0"/>
                <w:sz w:val="18"/>
                <w:szCs w:val="18"/>
                <w:vertAlign w:val="superscript"/>
                <w:lang w:val="zh-CN"/>
              </w:rPr>
              <w:t>*</w:t>
            </w:r>
            <w:r>
              <w:rPr>
                <w:rFonts w:hint="eastAsia" w:ascii="Times New Roman" w:hAnsi="Times New Roman" w:eastAsia="宋体" w:cs="Times New Roman"/>
                <w:color w:val="auto"/>
                <w:kern w:val="0"/>
                <w:sz w:val="18"/>
                <w:szCs w:val="18"/>
                <w:lang w:val="zh-CN"/>
              </w:rPr>
              <w:t>医疗废物</w:t>
            </w:r>
          </w:p>
        </w:tc>
        <w:tc>
          <w:tcPr>
            <w:tcW w:w="1551" w:type="dxa"/>
            <w:vAlign w:val="center"/>
          </w:tcPr>
          <w:p>
            <w:pPr>
              <w:pStyle w:val="23"/>
              <w:ind w:firstLine="0" w:firstLineChars="0"/>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感染性、损伤性医疗废物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64" w:type="dxa"/>
            <w:vAlign w:val="center"/>
          </w:tcPr>
          <w:p>
            <w:pPr>
              <w:pStyle w:val="23"/>
              <w:ind w:firstLine="0" w:firstLineChars="0"/>
              <w:jc w:val="center"/>
              <w:rPr>
                <w:rFonts w:ascii="Times New Roman" w:hAnsi="Times New Roman" w:eastAsia="宋体" w:cs="Times New Roman"/>
                <w:color w:val="auto"/>
                <w:kern w:val="0"/>
                <w:sz w:val="18"/>
                <w:szCs w:val="18"/>
              </w:rPr>
            </w:pPr>
            <w:r>
              <w:rPr>
                <w:rFonts w:hint="eastAsia" w:ascii="Times New Roman" w:hAnsi="Times New Roman" w:eastAsia="宋体" w:cs="Times New Roman"/>
                <w:color w:val="auto"/>
                <w:kern w:val="0"/>
                <w:sz w:val="18"/>
                <w:szCs w:val="18"/>
                <w:lang w:val="zh-CN"/>
              </w:rPr>
              <w:t>适宜规模</w:t>
            </w:r>
          </w:p>
        </w:tc>
        <w:tc>
          <w:tcPr>
            <w:tcW w:w="1821"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w:t>
            </w:r>
            <w:r>
              <w:rPr>
                <w:rFonts w:ascii="Times New Roman" w:hAnsi="Times New Roman" w:eastAsia="宋体" w:cs="Times New Roman"/>
                <w:color w:val="auto"/>
                <w:kern w:val="0"/>
                <w:sz w:val="18"/>
                <w:szCs w:val="18"/>
                <w:lang w:val="zh-CN"/>
              </w:rPr>
              <w:t>10t/d</w:t>
            </w:r>
          </w:p>
        </w:tc>
        <w:tc>
          <w:tcPr>
            <w:tcW w:w="2010"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ascii="Times New Roman" w:hAnsi="Times New Roman" w:eastAsia="宋体" w:cs="Times New Roman"/>
                <w:color w:val="auto"/>
                <w:kern w:val="0"/>
                <w:sz w:val="18"/>
                <w:szCs w:val="18"/>
                <w:lang w:val="zh-CN"/>
              </w:rPr>
              <w:t>5-10t/d</w:t>
            </w:r>
          </w:p>
        </w:tc>
        <w:tc>
          <w:tcPr>
            <w:tcW w:w="1984"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w:t>
            </w:r>
            <w:r>
              <w:rPr>
                <w:rFonts w:ascii="Times New Roman" w:hAnsi="Times New Roman" w:eastAsia="宋体" w:cs="Times New Roman"/>
                <w:color w:val="auto"/>
                <w:kern w:val="0"/>
                <w:sz w:val="18"/>
                <w:szCs w:val="18"/>
                <w:lang w:val="zh-CN"/>
              </w:rPr>
              <w:t>10t/d</w:t>
            </w:r>
          </w:p>
        </w:tc>
        <w:tc>
          <w:tcPr>
            <w:tcW w:w="6379" w:type="dxa"/>
            <w:gridSpan w:val="4"/>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w:t>
            </w:r>
            <w:r>
              <w:rPr>
                <w:rFonts w:ascii="Times New Roman" w:hAnsi="Times New Roman" w:eastAsia="宋体" w:cs="Times New Roman"/>
                <w:color w:val="auto"/>
                <w:kern w:val="0"/>
                <w:sz w:val="18"/>
                <w:szCs w:val="18"/>
                <w:lang w:val="zh-CN"/>
              </w:rPr>
              <w:t>10t/d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64"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处置效果</w:t>
            </w:r>
          </w:p>
        </w:tc>
        <w:tc>
          <w:tcPr>
            <w:tcW w:w="1821"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减量</w:t>
            </w:r>
            <w:r>
              <w:rPr>
                <w:rFonts w:ascii="Times New Roman" w:hAnsi="Times New Roman" w:eastAsia="宋体" w:cs="Times New Roman"/>
                <w:color w:val="auto"/>
                <w:kern w:val="0"/>
                <w:sz w:val="18"/>
                <w:szCs w:val="18"/>
                <w:lang w:val="zh-CN"/>
              </w:rPr>
              <w:t>~90%</w:t>
            </w:r>
            <w:r>
              <w:rPr>
                <w:rFonts w:hint="eastAsia" w:ascii="Times New Roman" w:hAnsi="Times New Roman" w:eastAsia="宋体" w:cs="Times New Roman"/>
                <w:color w:val="auto"/>
                <w:kern w:val="0"/>
                <w:sz w:val="18"/>
                <w:szCs w:val="18"/>
                <w:lang w:val="zh-CN"/>
              </w:rPr>
              <w:t>，灭菌</w:t>
            </w:r>
          </w:p>
        </w:tc>
        <w:tc>
          <w:tcPr>
            <w:tcW w:w="2010"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减量</w:t>
            </w:r>
            <w:r>
              <w:rPr>
                <w:rFonts w:ascii="Times New Roman" w:hAnsi="Times New Roman" w:eastAsia="宋体" w:cs="Times New Roman"/>
                <w:color w:val="auto"/>
                <w:kern w:val="0"/>
                <w:sz w:val="18"/>
                <w:szCs w:val="18"/>
                <w:lang w:val="zh-CN"/>
              </w:rPr>
              <w:t>~85%</w:t>
            </w:r>
            <w:r>
              <w:rPr>
                <w:rFonts w:hint="eastAsia" w:ascii="Times New Roman" w:hAnsi="Times New Roman" w:eastAsia="宋体" w:cs="Times New Roman"/>
                <w:color w:val="auto"/>
                <w:kern w:val="0"/>
                <w:sz w:val="18"/>
                <w:szCs w:val="18"/>
                <w:lang w:val="zh-CN"/>
              </w:rPr>
              <w:t>，灭菌</w:t>
            </w:r>
          </w:p>
        </w:tc>
        <w:tc>
          <w:tcPr>
            <w:tcW w:w="1984"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减量</w:t>
            </w:r>
            <w:r>
              <w:rPr>
                <w:rFonts w:ascii="Times New Roman" w:hAnsi="Times New Roman" w:eastAsia="宋体" w:cs="Times New Roman"/>
                <w:color w:val="auto"/>
                <w:kern w:val="0"/>
                <w:sz w:val="18"/>
                <w:szCs w:val="18"/>
                <w:lang w:val="zh-CN"/>
              </w:rPr>
              <w:t>~95%</w:t>
            </w:r>
            <w:r>
              <w:rPr>
                <w:rFonts w:hint="eastAsia" w:ascii="Times New Roman" w:hAnsi="Times New Roman" w:eastAsia="宋体" w:cs="Times New Roman"/>
                <w:color w:val="auto"/>
                <w:kern w:val="0"/>
                <w:sz w:val="18"/>
                <w:szCs w:val="18"/>
                <w:lang w:val="zh-CN"/>
              </w:rPr>
              <w:t>，灭菌</w:t>
            </w:r>
          </w:p>
        </w:tc>
        <w:tc>
          <w:tcPr>
            <w:tcW w:w="6379" w:type="dxa"/>
            <w:gridSpan w:val="4"/>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灭菌，减容不减量，处理后的残渣还需填埋或焚烧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64"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运行方式</w:t>
            </w:r>
          </w:p>
        </w:tc>
        <w:tc>
          <w:tcPr>
            <w:tcW w:w="1821"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连续运行</w:t>
            </w:r>
          </w:p>
        </w:tc>
        <w:tc>
          <w:tcPr>
            <w:tcW w:w="2010"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连续</w:t>
            </w:r>
            <w:r>
              <w:rPr>
                <w:rFonts w:ascii="Times New Roman" w:hAnsi="Times New Roman" w:eastAsia="宋体" w:cs="Times New Roman"/>
                <w:color w:val="auto"/>
                <w:kern w:val="0"/>
                <w:sz w:val="18"/>
                <w:szCs w:val="18"/>
                <w:lang w:val="zh-CN"/>
              </w:rPr>
              <w:t>/</w:t>
            </w:r>
            <w:r>
              <w:rPr>
                <w:rFonts w:hint="eastAsia" w:ascii="Times New Roman" w:hAnsi="Times New Roman" w:eastAsia="宋体" w:cs="Times New Roman"/>
                <w:color w:val="auto"/>
                <w:kern w:val="0"/>
                <w:sz w:val="18"/>
                <w:szCs w:val="18"/>
                <w:lang w:val="zh-CN"/>
              </w:rPr>
              <w:t>间歇运行</w:t>
            </w:r>
          </w:p>
        </w:tc>
        <w:tc>
          <w:tcPr>
            <w:tcW w:w="1984"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连续运行</w:t>
            </w:r>
          </w:p>
        </w:tc>
        <w:tc>
          <w:tcPr>
            <w:tcW w:w="6379" w:type="dxa"/>
            <w:gridSpan w:val="4"/>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间歇运行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64"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设备要求</w:t>
            </w:r>
          </w:p>
        </w:tc>
        <w:tc>
          <w:tcPr>
            <w:tcW w:w="5815" w:type="dxa"/>
            <w:gridSpan w:val="3"/>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耐高温、耐腐蚀</w:t>
            </w:r>
          </w:p>
        </w:tc>
        <w:tc>
          <w:tcPr>
            <w:tcW w:w="1688"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密闭保温、耐高温高压</w:t>
            </w:r>
          </w:p>
        </w:tc>
        <w:tc>
          <w:tcPr>
            <w:tcW w:w="1573"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密闭、耐高温、电磁防护</w:t>
            </w:r>
          </w:p>
        </w:tc>
        <w:tc>
          <w:tcPr>
            <w:tcW w:w="1567"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负压操作、耐腐蚀</w:t>
            </w:r>
          </w:p>
        </w:tc>
        <w:tc>
          <w:tcPr>
            <w:tcW w:w="1551"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负压操作、耐腐蚀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64"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操作要求</w:t>
            </w:r>
          </w:p>
        </w:tc>
        <w:tc>
          <w:tcPr>
            <w:tcW w:w="1821" w:type="dxa"/>
            <w:vAlign w:val="center"/>
          </w:tcPr>
          <w:p>
            <w:pPr>
              <w:pStyle w:val="23"/>
              <w:ind w:firstLine="0" w:firstLineChars="0"/>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操作难度较大、劳动强度大</w:t>
            </w:r>
          </w:p>
        </w:tc>
        <w:tc>
          <w:tcPr>
            <w:tcW w:w="2010" w:type="dxa"/>
            <w:vAlign w:val="center"/>
          </w:tcPr>
          <w:p>
            <w:pPr>
              <w:pStyle w:val="23"/>
              <w:ind w:firstLine="0" w:firstLineChars="0"/>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运行维护要求较高、操作难度一般、操作强度较大，时间长</w:t>
            </w:r>
          </w:p>
        </w:tc>
        <w:tc>
          <w:tcPr>
            <w:tcW w:w="1984" w:type="dxa"/>
            <w:vAlign w:val="center"/>
          </w:tcPr>
          <w:p>
            <w:pPr>
              <w:pStyle w:val="23"/>
              <w:ind w:firstLine="0" w:firstLineChars="0"/>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运行维护要求高，操作难度和强度较大</w:t>
            </w:r>
          </w:p>
        </w:tc>
        <w:tc>
          <w:tcPr>
            <w:tcW w:w="6379" w:type="dxa"/>
            <w:gridSpan w:val="4"/>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运行维护要求较高，操作简单，操作强度较大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64"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影响因素</w:t>
            </w:r>
          </w:p>
        </w:tc>
        <w:tc>
          <w:tcPr>
            <w:tcW w:w="3831" w:type="dxa"/>
            <w:gridSpan w:val="2"/>
            <w:vAlign w:val="center"/>
          </w:tcPr>
          <w:p>
            <w:pPr>
              <w:pStyle w:val="23"/>
              <w:ind w:firstLine="0" w:firstLineChars="0"/>
              <w:rPr>
                <w:rFonts w:ascii="Times New Roman" w:hAnsi="Times New Roman" w:eastAsia="宋体" w:cs="Times New Roman"/>
                <w:color w:val="auto"/>
                <w:kern w:val="0"/>
                <w:sz w:val="18"/>
                <w:szCs w:val="18"/>
                <w:lang w:val="zh-CN"/>
              </w:rPr>
            </w:pPr>
            <w:r>
              <w:rPr>
                <w:rFonts w:hint="eastAsia" w:ascii="宋体" w:hAnsi="宋体" w:eastAsia="宋体" w:cs="宋体"/>
                <w:color w:val="auto"/>
                <w:kern w:val="0"/>
                <w:sz w:val="18"/>
                <w:szCs w:val="18"/>
                <w:lang w:val="zh-CN"/>
              </w:rPr>
              <w:t>①</w:t>
            </w:r>
            <w:r>
              <w:rPr>
                <w:rFonts w:hint="eastAsia" w:ascii="Times New Roman" w:hAnsi="Times New Roman" w:eastAsia="宋体" w:cs="Times New Roman"/>
                <w:color w:val="auto"/>
                <w:kern w:val="0"/>
                <w:sz w:val="18"/>
                <w:szCs w:val="18"/>
                <w:lang w:val="zh-CN"/>
              </w:rPr>
              <w:t>炉内混合条件；</w:t>
            </w:r>
            <w:r>
              <w:rPr>
                <w:rFonts w:hint="eastAsia" w:ascii="宋体" w:hAnsi="宋体" w:eastAsia="宋体" w:cs="宋体"/>
                <w:color w:val="auto"/>
                <w:kern w:val="0"/>
                <w:sz w:val="18"/>
                <w:szCs w:val="18"/>
                <w:lang w:val="zh-CN"/>
              </w:rPr>
              <w:t>②</w:t>
            </w:r>
            <w:r>
              <w:rPr>
                <w:rFonts w:hint="eastAsia" w:ascii="Times New Roman" w:hAnsi="Times New Roman" w:eastAsia="宋体" w:cs="Times New Roman"/>
                <w:color w:val="auto"/>
                <w:kern w:val="0"/>
                <w:sz w:val="18"/>
                <w:szCs w:val="18"/>
                <w:lang w:val="zh-CN"/>
              </w:rPr>
              <w:t>废物含水率；</w:t>
            </w:r>
            <w:r>
              <w:rPr>
                <w:rFonts w:hint="eastAsia" w:ascii="宋体" w:hAnsi="宋体" w:eastAsia="宋体" w:cs="宋体"/>
                <w:color w:val="auto"/>
                <w:kern w:val="0"/>
                <w:sz w:val="18"/>
                <w:szCs w:val="18"/>
                <w:lang w:val="zh-CN"/>
              </w:rPr>
              <w:t>③</w:t>
            </w:r>
            <w:r>
              <w:rPr>
                <w:rFonts w:hint="eastAsia" w:ascii="Times New Roman" w:hAnsi="Times New Roman" w:eastAsia="宋体" w:cs="Times New Roman"/>
                <w:color w:val="auto"/>
                <w:kern w:val="0"/>
                <w:sz w:val="18"/>
                <w:szCs w:val="18"/>
                <w:lang w:val="zh-CN"/>
              </w:rPr>
              <w:t>进料方式；</w:t>
            </w:r>
            <w:r>
              <w:rPr>
                <w:rFonts w:hint="eastAsia" w:ascii="宋体" w:hAnsi="宋体" w:eastAsia="宋体" w:cs="宋体"/>
                <w:color w:val="auto"/>
                <w:kern w:val="0"/>
                <w:sz w:val="18"/>
                <w:szCs w:val="18"/>
                <w:lang w:val="zh-CN"/>
              </w:rPr>
              <w:t>④</w:t>
            </w:r>
            <w:r>
              <w:rPr>
                <w:rFonts w:hint="eastAsia" w:ascii="Times New Roman" w:hAnsi="Times New Roman" w:eastAsia="宋体" w:cs="Times New Roman"/>
                <w:color w:val="auto"/>
                <w:kern w:val="0"/>
                <w:sz w:val="18"/>
                <w:szCs w:val="18"/>
                <w:lang w:val="zh-CN"/>
              </w:rPr>
              <w:t>温度与停留时间；</w:t>
            </w:r>
            <w:r>
              <w:rPr>
                <w:rFonts w:hint="eastAsia" w:ascii="宋体" w:hAnsi="宋体" w:eastAsia="宋体" w:cs="宋体"/>
                <w:color w:val="auto"/>
                <w:kern w:val="0"/>
                <w:sz w:val="18"/>
                <w:szCs w:val="18"/>
                <w:lang w:val="zh-CN"/>
              </w:rPr>
              <w:t>⑤</w:t>
            </w:r>
            <w:r>
              <w:rPr>
                <w:rFonts w:hint="eastAsia" w:ascii="Times New Roman" w:hAnsi="Times New Roman" w:eastAsia="宋体" w:cs="Times New Roman"/>
                <w:color w:val="auto"/>
                <w:kern w:val="0"/>
                <w:sz w:val="18"/>
                <w:szCs w:val="18"/>
                <w:lang w:val="zh-CN"/>
              </w:rPr>
              <w:t>设备保养与维护</w:t>
            </w:r>
          </w:p>
        </w:tc>
        <w:tc>
          <w:tcPr>
            <w:tcW w:w="1984" w:type="dxa"/>
            <w:vAlign w:val="center"/>
          </w:tcPr>
          <w:p>
            <w:pPr>
              <w:pStyle w:val="23"/>
              <w:ind w:firstLine="0" w:firstLineChars="0"/>
              <w:rPr>
                <w:rFonts w:ascii="Times New Roman" w:hAnsi="Times New Roman" w:eastAsia="宋体" w:cs="Times New Roman"/>
                <w:color w:val="auto"/>
                <w:kern w:val="0"/>
                <w:sz w:val="18"/>
                <w:szCs w:val="18"/>
                <w:lang w:val="zh-CN"/>
              </w:rPr>
            </w:pPr>
            <w:r>
              <w:rPr>
                <w:rFonts w:hint="eastAsia" w:ascii="宋体" w:hAnsi="宋体" w:eastAsia="宋体" w:cs="宋体"/>
                <w:color w:val="auto"/>
                <w:kern w:val="0"/>
                <w:sz w:val="18"/>
                <w:szCs w:val="18"/>
                <w:lang w:val="zh-CN"/>
              </w:rPr>
              <w:t>①</w:t>
            </w:r>
            <w:r>
              <w:rPr>
                <w:rFonts w:hint="eastAsia" w:ascii="Times New Roman" w:hAnsi="Times New Roman" w:eastAsia="宋体" w:cs="Times New Roman"/>
                <w:color w:val="auto"/>
                <w:kern w:val="0"/>
                <w:sz w:val="18"/>
                <w:szCs w:val="18"/>
                <w:lang w:val="zh-CN"/>
              </w:rPr>
              <w:t>炉内混合条件；</w:t>
            </w:r>
            <w:r>
              <w:rPr>
                <w:rFonts w:hint="eastAsia" w:ascii="宋体" w:hAnsi="宋体" w:eastAsia="宋体" w:cs="宋体"/>
                <w:color w:val="auto"/>
                <w:kern w:val="0"/>
                <w:sz w:val="18"/>
                <w:szCs w:val="18"/>
                <w:lang w:val="zh-CN"/>
              </w:rPr>
              <w:t>②</w:t>
            </w:r>
            <w:r>
              <w:rPr>
                <w:rFonts w:hint="eastAsia" w:ascii="Times New Roman" w:hAnsi="Times New Roman" w:eastAsia="宋体" w:cs="Times New Roman"/>
                <w:color w:val="auto"/>
                <w:kern w:val="0"/>
                <w:sz w:val="18"/>
                <w:szCs w:val="18"/>
                <w:lang w:val="zh-CN"/>
              </w:rPr>
              <w:t>废物含水率；</w:t>
            </w:r>
            <w:r>
              <w:rPr>
                <w:rFonts w:hint="eastAsia" w:ascii="宋体" w:hAnsi="宋体" w:eastAsia="宋体" w:cs="宋体"/>
                <w:color w:val="auto"/>
                <w:kern w:val="0"/>
                <w:sz w:val="18"/>
                <w:szCs w:val="18"/>
                <w:lang w:val="zh-CN"/>
              </w:rPr>
              <w:t>③</w:t>
            </w:r>
            <w:r>
              <w:rPr>
                <w:rFonts w:hint="eastAsia" w:ascii="Times New Roman" w:hAnsi="Times New Roman" w:eastAsia="宋体" w:cs="Times New Roman"/>
                <w:color w:val="auto"/>
                <w:kern w:val="0"/>
                <w:sz w:val="18"/>
                <w:szCs w:val="18"/>
                <w:lang w:val="zh-CN"/>
              </w:rPr>
              <w:t>进料方式；</w:t>
            </w:r>
            <w:r>
              <w:rPr>
                <w:rFonts w:hint="eastAsia" w:ascii="宋体" w:hAnsi="宋体" w:eastAsia="宋体" w:cs="宋体"/>
                <w:color w:val="auto"/>
                <w:kern w:val="0"/>
                <w:sz w:val="18"/>
                <w:szCs w:val="18"/>
                <w:lang w:val="zh-CN"/>
              </w:rPr>
              <w:t>④</w:t>
            </w:r>
            <w:r>
              <w:rPr>
                <w:rFonts w:hint="eastAsia" w:ascii="Times New Roman" w:hAnsi="Times New Roman" w:eastAsia="宋体" w:cs="Times New Roman"/>
                <w:color w:val="auto"/>
                <w:kern w:val="0"/>
                <w:sz w:val="18"/>
                <w:szCs w:val="18"/>
                <w:lang w:val="zh-CN"/>
              </w:rPr>
              <w:t>温度与停留时间；</w:t>
            </w:r>
            <w:r>
              <w:rPr>
                <w:rFonts w:hint="eastAsia" w:ascii="宋体" w:hAnsi="宋体" w:eastAsia="宋体" w:cs="宋体"/>
                <w:color w:val="auto"/>
                <w:kern w:val="0"/>
                <w:sz w:val="18"/>
                <w:szCs w:val="18"/>
                <w:lang w:val="zh-CN"/>
              </w:rPr>
              <w:t>⑤</w:t>
            </w:r>
            <w:r>
              <w:rPr>
                <w:rFonts w:hint="eastAsia" w:ascii="Times New Roman" w:hAnsi="Times New Roman" w:eastAsia="宋体" w:cs="Times New Roman"/>
                <w:color w:val="auto"/>
                <w:kern w:val="0"/>
                <w:sz w:val="18"/>
                <w:szCs w:val="18"/>
                <w:lang w:val="zh-CN"/>
              </w:rPr>
              <w:t>物料配伍</w:t>
            </w:r>
          </w:p>
        </w:tc>
        <w:tc>
          <w:tcPr>
            <w:tcW w:w="1688" w:type="dxa"/>
            <w:vAlign w:val="center"/>
          </w:tcPr>
          <w:p>
            <w:pPr>
              <w:pStyle w:val="23"/>
              <w:ind w:firstLine="0" w:firstLineChars="0"/>
              <w:rPr>
                <w:rFonts w:ascii="Times New Roman" w:hAnsi="Times New Roman" w:eastAsia="宋体" w:cs="Times New Roman"/>
                <w:color w:val="auto"/>
                <w:kern w:val="0"/>
                <w:sz w:val="18"/>
                <w:szCs w:val="18"/>
                <w:lang w:val="zh-CN"/>
              </w:rPr>
            </w:pPr>
            <w:r>
              <w:rPr>
                <w:rFonts w:hint="eastAsia" w:ascii="宋体" w:hAnsi="宋体" w:eastAsia="宋体" w:cs="宋体"/>
                <w:color w:val="auto"/>
                <w:kern w:val="0"/>
                <w:sz w:val="18"/>
                <w:szCs w:val="18"/>
                <w:lang w:val="zh-CN"/>
              </w:rPr>
              <w:t>①</w:t>
            </w:r>
            <w:r>
              <w:rPr>
                <w:rFonts w:hint="eastAsia" w:ascii="Times New Roman" w:hAnsi="Times New Roman" w:eastAsia="宋体" w:cs="Times New Roman"/>
                <w:color w:val="auto"/>
                <w:kern w:val="0"/>
                <w:sz w:val="18"/>
                <w:szCs w:val="18"/>
                <w:lang w:val="zh-CN"/>
              </w:rPr>
              <w:t>温度与压力；</w:t>
            </w:r>
            <w:r>
              <w:rPr>
                <w:rFonts w:hint="eastAsia" w:ascii="宋体" w:hAnsi="宋体" w:eastAsia="宋体" w:cs="宋体"/>
                <w:color w:val="auto"/>
                <w:kern w:val="0"/>
                <w:sz w:val="18"/>
                <w:szCs w:val="18"/>
                <w:lang w:val="zh-CN"/>
              </w:rPr>
              <w:t>②</w:t>
            </w:r>
            <w:r>
              <w:rPr>
                <w:rFonts w:hint="eastAsia" w:ascii="Times New Roman" w:hAnsi="Times New Roman" w:eastAsia="宋体" w:cs="Times New Roman"/>
                <w:color w:val="auto"/>
                <w:kern w:val="0"/>
                <w:sz w:val="18"/>
                <w:szCs w:val="18"/>
                <w:lang w:val="zh-CN"/>
              </w:rPr>
              <w:t>蒸汽强度；</w:t>
            </w:r>
            <w:r>
              <w:rPr>
                <w:rFonts w:hint="eastAsia" w:ascii="宋体" w:hAnsi="宋体" w:eastAsia="宋体" w:cs="宋体"/>
                <w:color w:val="auto"/>
                <w:kern w:val="0"/>
                <w:sz w:val="18"/>
                <w:szCs w:val="18"/>
                <w:lang w:val="zh-CN"/>
              </w:rPr>
              <w:t>③</w:t>
            </w:r>
            <w:r>
              <w:rPr>
                <w:rFonts w:hint="eastAsia" w:ascii="Times New Roman" w:hAnsi="Times New Roman" w:eastAsia="宋体" w:cs="Times New Roman"/>
                <w:color w:val="auto"/>
                <w:kern w:val="0"/>
                <w:sz w:val="18"/>
                <w:szCs w:val="18"/>
                <w:lang w:val="zh-CN"/>
              </w:rPr>
              <w:t>废物尺寸；</w:t>
            </w:r>
            <w:r>
              <w:rPr>
                <w:rFonts w:hint="eastAsia" w:ascii="宋体" w:hAnsi="宋体" w:eastAsia="宋体" w:cs="宋体"/>
                <w:color w:val="auto"/>
                <w:kern w:val="0"/>
                <w:sz w:val="18"/>
                <w:szCs w:val="18"/>
                <w:lang w:val="zh-CN"/>
              </w:rPr>
              <w:t>④</w:t>
            </w:r>
            <w:r>
              <w:rPr>
                <w:rFonts w:hint="eastAsia" w:ascii="Times New Roman" w:hAnsi="Times New Roman" w:eastAsia="宋体" w:cs="Times New Roman"/>
                <w:color w:val="auto"/>
                <w:kern w:val="0"/>
                <w:sz w:val="18"/>
                <w:szCs w:val="18"/>
                <w:lang w:val="zh-CN"/>
              </w:rPr>
              <w:t>处理循环周期；</w:t>
            </w:r>
            <w:r>
              <w:rPr>
                <w:rFonts w:hint="eastAsia" w:ascii="宋体" w:hAnsi="宋体" w:eastAsia="宋体" w:cs="宋体"/>
                <w:color w:val="auto"/>
                <w:kern w:val="0"/>
                <w:sz w:val="18"/>
                <w:szCs w:val="18"/>
                <w:lang w:val="zh-CN"/>
              </w:rPr>
              <w:t>⑤</w:t>
            </w:r>
            <w:r>
              <w:rPr>
                <w:rFonts w:hint="eastAsia" w:ascii="Times New Roman" w:hAnsi="Times New Roman" w:eastAsia="宋体" w:cs="Times New Roman"/>
                <w:color w:val="auto"/>
                <w:kern w:val="0"/>
                <w:sz w:val="18"/>
                <w:szCs w:val="18"/>
                <w:lang w:val="zh-CN"/>
              </w:rPr>
              <w:t>高压釜密封条件</w:t>
            </w:r>
          </w:p>
        </w:tc>
        <w:tc>
          <w:tcPr>
            <w:tcW w:w="1573" w:type="dxa"/>
            <w:vAlign w:val="center"/>
          </w:tcPr>
          <w:p>
            <w:pPr>
              <w:pStyle w:val="23"/>
              <w:ind w:firstLine="0" w:firstLineChars="0"/>
              <w:rPr>
                <w:rFonts w:ascii="Times New Roman" w:hAnsi="Times New Roman" w:eastAsia="宋体" w:cs="Times New Roman"/>
                <w:color w:val="auto"/>
                <w:kern w:val="0"/>
                <w:sz w:val="18"/>
                <w:szCs w:val="18"/>
                <w:lang w:val="zh-CN"/>
              </w:rPr>
            </w:pPr>
            <w:r>
              <w:rPr>
                <w:rFonts w:hint="eastAsia" w:ascii="宋体" w:hAnsi="宋体" w:eastAsia="宋体" w:cs="宋体"/>
                <w:color w:val="auto"/>
                <w:kern w:val="0"/>
                <w:sz w:val="18"/>
                <w:szCs w:val="18"/>
                <w:lang w:val="zh-CN"/>
              </w:rPr>
              <w:t>①</w:t>
            </w:r>
            <w:r>
              <w:rPr>
                <w:rFonts w:hint="eastAsia" w:ascii="Times New Roman" w:hAnsi="Times New Roman" w:eastAsia="宋体" w:cs="Times New Roman"/>
                <w:color w:val="auto"/>
                <w:kern w:val="0"/>
                <w:sz w:val="18"/>
                <w:szCs w:val="18"/>
                <w:lang w:val="zh-CN"/>
              </w:rPr>
              <w:t>废物性质；</w:t>
            </w:r>
            <w:r>
              <w:rPr>
                <w:rFonts w:hint="eastAsia" w:ascii="宋体" w:hAnsi="宋体" w:eastAsia="宋体" w:cs="宋体"/>
                <w:color w:val="auto"/>
                <w:kern w:val="0"/>
                <w:sz w:val="18"/>
                <w:szCs w:val="18"/>
                <w:lang w:val="zh-CN"/>
              </w:rPr>
              <w:t>②</w:t>
            </w:r>
            <w:r>
              <w:rPr>
                <w:rFonts w:hint="eastAsia" w:ascii="Times New Roman" w:hAnsi="Times New Roman" w:eastAsia="宋体" w:cs="Times New Roman"/>
                <w:color w:val="auto"/>
                <w:kern w:val="0"/>
                <w:sz w:val="18"/>
                <w:szCs w:val="18"/>
                <w:lang w:val="zh-CN"/>
              </w:rPr>
              <w:t>废物含水率；</w:t>
            </w:r>
            <w:r>
              <w:rPr>
                <w:rFonts w:hint="eastAsia" w:ascii="宋体" w:hAnsi="宋体" w:eastAsia="宋体" w:cs="宋体"/>
                <w:color w:val="auto"/>
                <w:kern w:val="0"/>
                <w:sz w:val="18"/>
                <w:szCs w:val="18"/>
                <w:lang w:val="zh-CN"/>
              </w:rPr>
              <w:t>③</w:t>
            </w:r>
            <w:r>
              <w:rPr>
                <w:rFonts w:hint="eastAsia" w:ascii="Times New Roman" w:hAnsi="Times New Roman" w:eastAsia="宋体" w:cs="Times New Roman"/>
                <w:color w:val="auto"/>
                <w:kern w:val="0"/>
                <w:sz w:val="18"/>
                <w:szCs w:val="18"/>
                <w:lang w:val="zh-CN"/>
              </w:rPr>
              <w:t>微波强度；</w:t>
            </w:r>
            <w:r>
              <w:rPr>
                <w:rFonts w:hint="eastAsia" w:ascii="宋体" w:hAnsi="宋体" w:eastAsia="宋体" w:cs="宋体"/>
                <w:color w:val="auto"/>
                <w:kern w:val="0"/>
                <w:sz w:val="18"/>
                <w:szCs w:val="18"/>
                <w:lang w:val="zh-CN"/>
              </w:rPr>
              <w:t>④</w:t>
            </w:r>
            <w:r>
              <w:rPr>
                <w:rFonts w:hint="eastAsia" w:ascii="Times New Roman" w:hAnsi="Times New Roman" w:eastAsia="宋体" w:cs="Times New Roman"/>
                <w:color w:val="auto"/>
                <w:kern w:val="0"/>
                <w:sz w:val="18"/>
                <w:szCs w:val="18"/>
                <w:lang w:val="zh-CN"/>
              </w:rPr>
              <w:t>照射时间；</w:t>
            </w:r>
            <w:r>
              <w:rPr>
                <w:rFonts w:hint="eastAsia" w:ascii="宋体" w:hAnsi="宋体" w:eastAsia="宋体" w:cs="宋体"/>
                <w:color w:val="auto"/>
                <w:kern w:val="0"/>
                <w:sz w:val="18"/>
                <w:szCs w:val="18"/>
                <w:lang w:val="zh-CN"/>
              </w:rPr>
              <w:t>⑤</w:t>
            </w:r>
            <w:r>
              <w:rPr>
                <w:rFonts w:hint="eastAsia" w:ascii="Times New Roman" w:hAnsi="Times New Roman" w:eastAsia="宋体" w:cs="Times New Roman"/>
                <w:color w:val="auto"/>
                <w:kern w:val="0"/>
                <w:sz w:val="18"/>
                <w:szCs w:val="18"/>
                <w:lang w:val="zh-CN"/>
              </w:rPr>
              <w:t>废物混合程度</w:t>
            </w:r>
          </w:p>
        </w:tc>
        <w:tc>
          <w:tcPr>
            <w:tcW w:w="1567" w:type="dxa"/>
            <w:vAlign w:val="center"/>
          </w:tcPr>
          <w:p>
            <w:pPr>
              <w:pStyle w:val="23"/>
              <w:ind w:firstLine="0" w:firstLineChars="0"/>
              <w:rPr>
                <w:rFonts w:ascii="Times New Roman" w:hAnsi="Times New Roman" w:eastAsia="宋体" w:cs="Times New Roman"/>
                <w:color w:val="auto"/>
                <w:kern w:val="0"/>
                <w:sz w:val="18"/>
                <w:szCs w:val="18"/>
                <w:lang w:val="zh-CN"/>
              </w:rPr>
            </w:pPr>
            <w:r>
              <w:rPr>
                <w:rFonts w:hint="eastAsia" w:ascii="宋体" w:hAnsi="宋体" w:eastAsia="宋体" w:cs="宋体"/>
                <w:color w:val="auto"/>
                <w:kern w:val="0"/>
                <w:sz w:val="18"/>
                <w:szCs w:val="18"/>
                <w:lang w:val="zh-CN"/>
              </w:rPr>
              <w:t>①</w:t>
            </w:r>
            <w:r>
              <w:rPr>
                <w:rFonts w:hint="eastAsia" w:ascii="Times New Roman" w:hAnsi="Times New Roman" w:eastAsia="宋体" w:cs="Times New Roman"/>
                <w:color w:val="auto"/>
                <w:kern w:val="0"/>
                <w:sz w:val="18"/>
                <w:szCs w:val="18"/>
                <w:lang w:val="zh-CN"/>
              </w:rPr>
              <w:t>消毒剂种类；</w:t>
            </w:r>
            <w:r>
              <w:rPr>
                <w:rFonts w:hint="eastAsia" w:ascii="宋体" w:hAnsi="宋体" w:eastAsia="宋体" w:cs="宋体"/>
                <w:color w:val="auto"/>
                <w:kern w:val="0"/>
                <w:sz w:val="18"/>
                <w:szCs w:val="18"/>
                <w:lang w:val="zh-CN"/>
              </w:rPr>
              <w:t>②</w:t>
            </w:r>
            <w:r>
              <w:rPr>
                <w:rFonts w:hint="eastAsia" w:ascii="Times New Roman" w:hAnsi="Times New Roman" w:eastAsia="宋体" w:cs="Times New Roman"/>
                <w:color w:val="auto"/>
                <w:kern w:val="0"/>
                <w:sz w:val="18"/>
                <w:szCs w:val="18"/>
                <w:lang w:val="zh-CN"/>
              </w:rPr>
              <w:t>废物含水率；</w:t>
            </w:r>
            <w:r>
              <w:rPr>
                <w:rFonts w:hint="eastAsia" w:ascii="宋体" w:hAnsi="宋体" w:eastAsia="宋体" w:cs="宋体"/>
                <w:color w:val="auto"/>
                <w:kern w:val="0"/>
                <w:sz w:val="18"/>
                <w:szCs w:val="18"/>
                <w:lang w:val="zh-CN"/>
              </w:rPr>
              <w:t>③</w:t>
            </w:r>
            <w:r>
              <w:rPr>
                <w:rFonts w:hint="eastAsia" w:ascii="Times New Roman" w:hAnsi="Times New Roman" w:eastAsia="宋体" w:cs="Times New Roman"/>
                <w:color w:val="auto"/>
                <w:kern w:val="0"/>
                <w:sz w:val="18"/>
                <w:szCs w:val="18"/>
                <w:lang w:val="zh-CN"/>
              </w:rPr>
              <w:t>消毒温度；</w:t>
            </w:r>
            <w:r>
              <w:rPr>
                <w:rFonts w:hint="eastAsia" w:ascii="宋体" w:hAnsi="宋体" w:eastAsia="宋体" w:cs="宋体"/>
                <w:color w:val="auto"/>
                <w:kern w:val="0"/>
                <w:sz w:val="18"/>
                <w:szCs w:val="18"/>
                <w:lang w:val="zh-CN"/>
              </w:rPr>
              <w:t>④</w:t>
            </w:r>
            <w:r>
              <w:rPr>
                <w:rFonts w:hint="eastAsia" w:ascii="Times New Roman" w:hAnsi="Times New Roman" w:eastAsia="宋体" w:cs="Times New Roman"/>
                <w:color w:val="auto"/>
                <w:kern w:val="0"/>
                <w:sz w:val="18"/>
                <w:szCs w:val="18"/>
                <w:lang w:val="zh-CN"/>
              </w:rPr>
              <w:t>消毒时间；</w:t>
            </w:r>
            <w:r>
              <w:rPr>
                <w:rFonts w:hint="eastAsia" w:ascii="宋体" w:hAnsi="宋体" w:eastAsia="宋体" w:cs="宋体"/>
                <w:color w:val="auto"/>
                <w:kern w:val="0"/>
                <w:sz w:val="18"/>
                <w:szCs w:val="18"/>
                <w:lang w:val="zh-CN"/>
              </w:rPr>
              <w:t>⑤</w:t>
            </w:r>
            <w:r>
              <w:rPr>
                <w:rFonts w:hint="eastAsia" w:ascii="Times New Roman" w:hAnsi="Times New Roman" w:eastAsia="宋体" w:cs="Times New Roman"/>
                <w:color w:val="auto"/>
                <w:kern w:val="0"/>
                <w:sz w:val="18"/>
                <w:szCs w:val="18"/>
                <w:lang w:val="zh-CN"/>
              </w:rPr>
              <w:t>废物混合程度</w:t>
            </w:r>
          </w:p>
        </w:tc>
        <w:tc>
          <w:tcPr>
            <w:tcW w:w="1551" w:type="dxa"/>
            <w:vAlign w:val="center"/>
          </w:tcPr>
          <w:p>
            <w:pPr>
              <w:pStyle w:val="23"/>
              <w:ind w:firstLine="0" w:firstLineChars="0"/>
              <w:rPr>
                <w:rFonts w:ascii="Times New Roman" w:hAnsi="Times New Roman" w:eastAsia="宋体" w:cs="Times New Roman"/>
                <w:color w:val="auto"/>
                <w:kern w:val="0"/>
                <w:sz w:val="18"/>
                <w:szCs w:val="18"/>
                <w:lang w:val="zh-CN"/>
              </w:rPr>
            </w:pPr>
            <w:r>
              <w:rPr>
                <w:rFonts w:hint="eastAsia" w:ascii="宋体" w:hAnsi="宋体" w:eastAsia="宋体" w:cs="宋体"/>
                <w:color w:val="auto"/>
                <w:kern w:val="0"/>
                <w:sz w:val="18"/>
                <w:szCs w:val="18"/>
                <w:lang w:val="zh-CN"/>
              </w:rPr>
              <w:t>①</w:t>
            </w:r>
            <w:r>
              <w:rPr>
                <w:rFonts w:hint="eastAsia" w:ascii="Times New Roman" w:hAnsi="Times New Roman" w:eastAsia="宋体" w:cs="Times New Roman"/>
                <w:color w:val="auto"/>
                <w:kern w:val="0"/>
                <w:sz w:val="18"/>
                <w:szCs w:val="18"/>
                <w:lang w:val="zh-CN"/>
              </w:rPr>
              <w:t>温度与压力；</w:t>
            </w:r>
            <w:r>
              <w:rPr>
                <w:rFonts w:hint="eastAsia" w:ascii="宋体" w:hAnsi="宋体" w:eastAsia="宋体" w:cs="宋体"/>
                <w:color w:val="auto"/>
                <w:kern w:val="0"/>
                <w:sz w:val="18"/>
                <w:szCs w:val="18"/>
                <w:lang w:val="zh-CN"/>
              </w:rPr>
              <w:t>②</w:t>
            </w:r>
            <w:r>
              <w:rPr>
                <w:rFonts w:hint="eastAsia" w:ascii="Times New Roman" w:hAnsi="Times New Roman" w:eastAsia="宋体" w:cs="Times New Roman"/>
                <w:color w:val="auto"/>
                <w:kern w:val="0"/>
                <w:sz w:val="18"/>
                <w:szCs w:val="18"/>
                <w:lang w:val="zh-CN"/>
              </w:rPr>
              <w:t>消毒温度；</w:t>
            </w:r>
            <w:r>
              <w:rPr>
                <w:rFonts w:hint="eastAsia" w:ascii="宋体" w:hAnsi="宋体" w:eastAsia="宋体" w:cs="宋体"/>
                <w:color w:val="auto"/>
                <w:kern w:val="0"/>
                <w:sz w:val="18"/>
                <w:szCs w:val="18"/>
                <w:lang w:val="zh-CN"/>
              </w:rPr>
              <w:t>③</w:t>
            </w:r>
            <w:r>
              <w:rPr>
                <w:rFonts w:hint="eastAsia" w:ascii="Times New Roman" w:hAnsi="Times New Roman" w:eastAsia="宋体" w:cs="Times New Roman"/>
                <w:color w:val="auto"/>
                <w:kern w:val="0"/>
                <w:sz w:val="18"/>
                <w:szCs w:val="18"/>
                <w:lang w:val="zh-CN"/>
              </w:rPr>
              <w:t>消毒时间；</w:t>
            </w:r>
            <w:r>
              <w:rPr>
                <w:rFonts w:hint="eastAsia" w:ascii="宋体" w:hAnsi="宋体" w:eastAsia="宋体" w:cs="宋体"/>
                <w:color w:val="auto"/>
                <w:kern w:val="0"/>
                <w:sz w:val="18"/>
                <w:szCs w:val="18"/>
                <w:lang w:val="zh-CN"/>
              </w:rPr>
              <w:t>④</w:t>
            </w:r>
            <w:r>
              <w:rPr>
                <w:rFonts w:hint="eastAsia" w:ascii="Times New Roman" w:hAnsi="Times New Roman" w:eastAsia="宋体" w:cs="Times New Roman"/>
                <w:color w:val="auto"/>
                <w:kern w:val="0"/>
                <w:sz w:val="18"/>
                <w:szCs w:val="18"/>
                <w:lang w:val="zh-CN"/>
              </w:rPr>
              <w:t>消毒液种类；</w:t>
            </w:r>
            <w:r>
              <w:rPr>
                <w:rFonts w:hint="eastAsia" w:ascii="宋体" w:hAnsi="宋体" w:eastAsia="宋体" w:cs="宋体"/>
                <w:color w:val="auto"/>
                <w:kern w:val="0"/>
                <w:sz w:val="18"/>
                <w:szCs w:val="18"/>
                <w:lang w:val="zh-CN"/>
              </w:rPr>
              <w:t>⑤</w:t>
            </w:r>
            <w:r>
              <w:rPr>
                <w:rFonts w:hint="eastAsia" w:ascii="Times New Roman" w:hAnsi="Times New Roman" w:eastAsia="宋体" w:cs="Times New Roman"/>
                <w:color w:val="auto"/>
                <w:kern w:val="0"/>
                <w:sz w:val="18"/>
                <w:szCs w:val="18"/>
                <w:lang w:val="zh-CN"/>
              </w:rPr>
              <w:t>废物混合程度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64"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资源化程度</w:t>
            </w:r>
          </w:p>
        </w:tc>
        <w:tc>
          <w:tcPr>
            <w:tcW w:w="3831" w:type="dxa"/>
            <w:gridSpan w:val="2"/>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热能可利用</w:t>
            </w:r>
          </w:p>
        </w:tc>
        <w:tc>
          <w:tcPr>
            <w:tcW w:w="1984"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热能可利用、玻璃体</w:t>
            </w:r>
          </w:p>
        </w:tc>
        <w:tc>
          <w:tcPr>
            <w:tcW w:w="6379" w:type="dxa"/>
            <w:gridSpan w:val="4"/>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64"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有毒有害污染物</w:t>
            </w:r>
          </w:p>
        </w:tc>
        <w:tc>
          <w:tcPr>
            <w:tcW w:w="3831" w:type="dxa"/>
            <w:gridSpan w:val="2"/>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易产生二噁英类等有毒有害物质</w:t>
            </w:r>
          </w:p>
        </w:tc>
        <w:tc>
          <w:tcPr>
            <w:tcW w:w="1984"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二噁英类物质产生量极少</w:t>
            </w:r>
          </w:p>
        </w:tc>
        <w:tc>
          <w:tcPr>
            <w:tcW w:w="6379" w:type="dxa"/>
            <w:gridSpan w:val="4"/>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不产生二噁英类等有毒有害物质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64"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二次污染物</w:t>
            </w:r>
          </w:p>
        </w:tc>
        <w:tc>
          <w:tcPr>
            <w:tcW w:w="3831" w:type="dxa"/>
            <w:gridSpan w:val="2"/>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产生飞灰等固体废物，还需进行安全处置</w:t>
            </w:r>
          </w:p>
        </w:tc>
        <w:tc>
          <w:tcPr>
            <w:tcW w:w="1984"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飞灰产生量最小化</w:t>
            </w:r>
          </w:p>
        </w:tc>
        <w:tc>
          <w:tcPr>
            <w:tcW w:w="6379" w:type="dxa"/>
            <w:gridSpan w:val="4"/>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消毒处理后的残渣还需填埋或焚烧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64"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职业安全健康</w:t>
            </w:r>
          </w:p>
        </w:tc>
        <w:tc>
          <w:tcPr>
            <w:tcW w:w="5815" w:type="dxa"/>
            <w:gridSpan w:val="3"/>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具有高温烫伤风险</w:t>
            </w:r>
          </w:p>
        </w:tc>
        <w:tc>
          <w:tcPr>
            <w:tcW w:w="1688"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蒸汽伤害和病原体感染</w:t>
            </w:r>
          </w:p>
        </w:tc>
        <w:tc>
          <w:tcPr>
            <w:tcW w:w="1573"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微博辐射伤害和病原体感染</w:t>
            </w:r>
          </w:p>
        </w:tc>
        <w:tc>
          <w:tcPr>
            <w:tcW w:w="1567"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药剂泄露风险和病原体感染</w:t>
            </w:r>
          </w:p>
        </w:tc>
        <w:tc>
          <w:tcPr>
            <w:tcW w:w="1551"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蒸汽伤害和病原体感染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64"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吨投资费用</w:t>
            </w:r>
          </w:p>
        </w:tc>
        <w:tc>
          <w:tcPr>
            <w:tcW w:w="1821"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ascii="Times New Roman" w:hAnsi="Times New Roman" w:eastAsia="宋体" w:cs="Times New Roman"/>
                <w:color w:val="auto"/>
                <w:kern w:val="0"/>
                <w:sz w:val="18"/>
                <w:szCs w:val="18"/>
                <w:lang w:val="zh-CN"/>
              </w:rPr>
              <w:t>~300</w:t>
            </w:r>
            <w:r>
              <w:rPr>
                <w:rFonts w:hint="eastAsia" w:ascii="Times New Roman" w:hAnsi="Times New Roman" w:eastAsia="宋体" w:cs="Times New Roman"/>
                <w:color w:val="auto"/>
                <w:kern w:val="0"/>
                <w:sz w:val="18"/>
                <w:szCs w:val="18"/>
                <w:lang w:val="zh-CN"/>
              </w:rPr>
              <w:t>万元</w:t>
            </w:r>
            <w:r>
              <w:rPr>
                <w:rFonts w:ascii="Times New Roman" w:hAnsi="Times New Roman" w:eastAsia="宋体" w:cs="Times New Roman"/>
                <w:color w:val="auto"/>
                <w:kern w:val="0"/>
                <w:sz w:val="18"/>
                <w:szCs w:val="18"/>
                <w:lang w:val="zh-CN"/>
              </w:rPr>
              <w:t>/</w:t>
            </w:r>
            <w:r>
              <w:rPr>
                <w:rFonts w:hint="eastAsia" w:ascii="Times New Roman" w:hAnsi="Times New Roman" w:eastAsia="宋体" w:cs="Times New Roman"/>
                <w:color w:val="auto"/>
                <w:kern w:val="0"/>
                <w:sz w:val="18"/>
                <w:szCs w:val="18"/>
                <w:lang w:val="zh-CN"/>
              </w:rPr>
              <w:t>吨</w:t>
            </w:r>
          </w:p>
        </w:tc>
        <w:tc>
          <w:tcPr>
            <w:tcW w:w="2010"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ascii="Times New Roman" w:hAnsi="Times New Roman" w:eastAsia="宋体" w:cs="Times New Roman"/>
                <w:color w:val="auto"/>
                <w:kern w:val="0"/>
                <w:sz w:val="18"/>
                <w:szCs w:val="18"/>
                <w:lang w:val="zh-CN"/>
              </w:rPr>
              <w:t>~250</w:t>
            </w:r>
            <w:r>
              <w:rPr>
                <w:rFonts w:hint="eastAsia" w:ascii="Times New Roman" w:hAnsi="Times New Roman" w:eastAsia="宋体" w:cs="Times New Roman"/>
                <w:color w:val="auto"/>
                <w:kern w:val="0"/>
                <w:sz w:val="18"/>
                <w:szCs w:val="18"/>
                <w:lang w:val="zh-CN"/>
              </w:rPr>
              <w:t>万元</w:t>
            </w:r>
            <w:r>
              <w:rPr>
                <w:rFonts w:ascii="Times New Roman" w:hAnsi="Times New Roman" w:eastAsia="宋体" w:cs="Times New Roman"/>
                <w:color w:val="auto"/>
                <w:kern w:val="0"/>
                <w:sz w:val="18"/>
                <w:szCs w:val="18"/>
                <w:lang w:val="zh-CN"/>
              </w:rPr>
              <w:t>/</w:t>
            </w:r>
            <w:r>
              <w:rPr>
                <w:rFonts w:hint="eastAsia" w:ascii="Times New Roman" w:hAnsi="Times New Roman" w:eastAsia="宋体" w:cs="Times New Roman"/>
                <w:color w:val="auto"/>
                <w:kern w:val="0"/>
                <w:sz w:val="18"/>
                <w:szCs w:val="18"/>
                <w:lang w:val="zh-CN"/>
              </w:rPr>
              <w:t>吨</w:t>
            </w:r>
          </w:p>
        </w:tc>
        <w:tc>
          <w:tcPr>
            <w:tcW w:w="1984"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ascii="Times New Roman" w:hAnsi="Times New Roman" w:eastAsia="宋体" w:cs="Times New Roman"/>
                <w:color w:val="auto"/>
                <w:kern w:val="0"/>
                <w:sz w:val="18"/>
                <w:szCs w:val="18"/>
                <w:lang w:val="zh-CN"/>
              </w:rPr>
              <w:t>~300</w:t>
            </w:r>
            <w:r>
              <w:rPr>
                <w:rFonts w:hint="eastAsia" w:ascii="Times New Roman" w:hAnsi="Times New Roman" w:eastAsia="宋体" w:cs="Times New Roman"/>
                <w:color w:val="auto"/>
                <w:kern w:val="0"/>
                <w:sz w:val="18"/>
                <w:szCs w:val="18"/>
                <w:lang w:val="zh-CN"/>
              </w:rPr>
              <w:t>万元</w:t>
            </w:r>
            <w:r>
              <w:rPr>
                <w:rFonts w:ascii="Times New Roman" w:hAnsi="Times New Roman" w:eastAsia="宋体" w:cs="Times New Roman"/>
                <w:color w:val="auto"/>
                <w:kern w:val="0"/>
                <w:sz w:val="18"/>
                <w:szCs w:val="18"/>
                <w:lang w:val="zh-CN"/>
              </w:rPr>
              <w:t>/</w:t>
            </w:r>
            <w:r>
              <w:rPr>
                <w:rFonts w:hint="eastAsia" w:ascii="Times New Roman" w:hAnsi="Times New Roman" w:eastAsia="宋体" w:cs="Times New Roman"/>
                <w:color w:val="auto"/>
                <w:kern w:val="0"/>
                <w:sz w:val="18"/>
                <w:szCs w:val="18"/>
                <w:lang w:val="zh-CN"/>
              </w:rPr>
              <w:t>吨</w:t>
            </w:r>
          </w:p>
        </w:tc>
        <w:tc>
          <w:tcPr>
            <w:tcW w:w="1688"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ascii="Times New Roman" w:hAnsi="Times New Roman" w:eastAsia="宋体" w:cs="Times New Roman"/>
                <w:color w:val="auto"/>
                <w:kern w:val="0"/>
                <w:sz w:val="18"/>
                <w:szCs w:val="18"/>
                <w:lang w:val="zh-CN"/>
              </w:rPr>
              <w:t>~110</w:t>
            </w:r>
            <w:r>
              <w:rPr>
                <w:rFonts w:hint="eastAsia" w:ascii="Times New Roman" w:hAnsi="Times New Roman" w:eastAsia="宋体" w:cs="Times New Roman"/>
                <w:color w:val="auto"/>
                <w:kern w:val="0"/>
                <w:sz w:val="18"/>
                <w:szCs w:val="18"/>
                <w:lang w:val="zh-CN"/>
              </w:rPr>
              <w:t>万元</w:t>
            </w:r>
            <w:r>
              <w:rPr>
                <w:rFonts w:ascii="Times New Roman" w:hAnsi="Times New Roman" w:eastAsia="宋体" w:cs="Times New Roman"/>
                <w:color w:val="auto"/>
                <w:kern w:val="0"/>
                <w:sz w:val="18"/>
                <w:szCs w:val="18"/>
                <w:lang w:val="zh-CN"/>
              </w:rPr>
              <w:t>/</w:t>
            </w:r>
            <w:r>
              <w:rPr>
                <w:rFonts w:hint="eastAsia" w:ascii="Times New Roman" w:hAnsi="Times New Roman" w:eastAsia="宋体" w:cs="Times New Roman"/>
                <w:color w:val="auto"/>
                <w:kern w:val="0"/>
                <w:sz w:val="18"/>
                <w:szCs w:val="18"/>
                <w:lang w:val="zh-CN"/>
              </w:rPr>
              <w:t>吨</w:t>
            </w:r>
          </w:p>
        </w:tc>
        <w:tc>
          <w:tcPr>
            <w:tcW w:w="1573"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ascii="Times New Roman" w:hAnsi="Times New Roman" w:eastAsia="宋体" w:cs="Times New Roman"/>
                <w:color w:val="auto"/>
                <w:kern w:val="0"/>
                <w:sz w:val="18"/>
                <w:szCs w:val="18"/>
                <w:lang w:val="zh-CN"/>
              </w:rPr>
              <w:t>~110</w:t>
            </w:r>
            <w:r>
              <w:rPr>
                <w:rFonts w:hint="eastAsia" w:ascii="Times New Roman" w:hAnsi="Times New Roman" w:eastAsia="宋体" w:cs="Times New Roman"/>
                <w:color w:val="auto"/>
                <w:kern w:val="0"/>
                <w:sz w:val="18"/>
                <w:szCs w:val="18"/>
                <w:lang w:val="zh-CN"/>
              </w:rPr>
              <w:t>万元</w:t>
            </w:r>
            <w:r>
              <w:rPr>
                <w:rFonts w:ascii="Times New Roman" w:hAnsi="Times New Roman" w:eastAsia="宋体" w:cs="Times New Roman"/>
                <w:color w:val="auto"/>
                <w:kern w:val="0"/>
                <w:sz w:val="18"/>
                <w:szCs w:val="18"/>
                <w:lang w:val="zh-CN"/>
              </w:rPr>
              <w:t>/</w:t>
            </w:r>
            <w:r>
              <w:rPr>
                <w:rFonts w:hint="eastAsia" w:ascii="Times New Roman" w:hAnsi="Times New Roman" w:eastAsia="宋体" w:cs="Times New Roman"/>
                <w:color w:val="auto"/>
                <w:kern w:val="0"/>
                <w:sz w:val="18"/>
                <w:szCs w:val="18"/>
                <w:lang w:val="zh-CN"/>
              </w:rPr>
              <w:t>吨</w:t>
            </w:r>
          </w:p>
        </w:tc>
        <w:tc>
          <w:tcPr>
            <w:tcW w:w="1567"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ascii="Times New Roman" w:hAnsi="Times New Roman" w:eastAsia="宋体" w:cs="Times New Roman"/>
                <w:color w:val="auto"/>
                <w:kern w:val="0"/>
                <w:sz w:val="18"/>
                <w:szCs w:val="18"/>
                <w:lang w:val="zh-CN"/>
              </w:rPr>
              <w:t>~100</w:t>
            </w:r>
            <w:r>
              <w:rPr>
                <w:rFonts w:hint="eastAsia" w:ascii="Times New Roman" w:hAnsi="Times New Roman" w:eastAsia="宋体" w:cs="Times New Roman"/>
                <w:color w:val="auto"/>
                <w:kern w:val="0"/>
                <w:sz w:val="18"/>
                <w:szCs w:val="18"/>
                <w:lang w:val="zh-CN"/>
              </w:rPr>
              <w:t>万元</w:t>
            </w:r>
            <w:r>
              <w:rPr>
                <w:rFonts w:ascii="Times New Roman" w:hAnsi="Times New Roman" w:eastAsia="宋体" w:cs="Times New Roman"/>
                <w:color w:val="auto"/>
                <w:kern w:val="0"/>
                <w:sz w:val="18"/>
                <w:szCs w:val="18"/>
                <w:lang w:val="zh-CN"/>
              </w:rPr>
              <w:t>/</w:t>
            </w:r>
            <w:r>
              <w:rPr>
                <w:rFonts w:hint="eastAsia" w:ascii="Times New Roman" w:hAnsi="Times New Roman" w:eastAsia="宋体" w:cs="Times New Roman"/>
                <w:color w:val="auto"/>
                <w:kern w:val="0"/>
                <w:sz w:val="18"/>
                <w:szCs w:val="18"/>
                <w:lang w:val="zh-CN"/>
              </w:rPr>
              <w:t>吨</w:t>
            </w:r>
          </w:p>
        </w:tc>
        <w:tc>
          <w:tcPr>
            <w:tcW w:w="1551"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ascii="Times New Roman" w:hAnsi="Times New Roman" w:eastAsia="宋体" w:cs="Times New Roman"/>
                <w:color w:val="auto"/>
                <w:kern w:val="0"/>
                <w:sz w:val="18"/>
                <w:szCs w:val="18"/>
                <w:lang w:val="zh-CN"/>
              </w:rPr>
              <w:t>~110</w:t>
            </w:r>
            <w:r>
              <w:rPr>
                <w:rFonts w:hint="eastAsia" w:ascii="Times New Roman" w:hAnsi="Times New Roman" w:eastAsia="宋体" w:cs="Times New Roman"/>
                <w:color w:val="auto"/>
                <w:kern w:val="0"/>
                <w:sz w:val="18"/>
                <w:szCs w:val="18"/>
                <w:lang w:val="zh-CN"/>
              </w:rPr>
              <w:t>万元</w:t>
            </w:r>
            <w:r>
              <w:rPr>
                <w:rFonts w:ascii="Times New Roman" w:hAnsi="Times New Roman" w:eastAsia="宋体" w:cs="Times New Roman"/>
                <w:color w:val="auto"/>
                <w:kern w:val="0"/>
                <w:sz w:val="18"/>
                <w:szCs w:val="18"/>
                <w:lang w:val="zh-CN"/>
              </w:rPr>
              <w:t>/</w:t>
            </w:r>
            <w:r>
              <w:rPr>
                <w:rFonts w:hint="eastAsia" w:ascii="Times New Roman" w:hAnsi="Times New Roman" w:eastAsia="宋体" w:cs="Times New Roman"/>
                <w:color w:val="auto"/>
                <w:kern w:val="0"/>
                <w:sz w:val="18"/>
                <w:szCs w:val="18"/>
                <w:lang w:val="zh-CN"/>
              </w:rPr>
              <w:t>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64"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吨运行成本</w:t>
            </w:r>
          </w:p>
        </w:tc>
        <w:tc>
          <w:tcPr>
            <w:tcW w:w="1821"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ascii="Times New Roman" w:hAnsi="Times New Roman" w:eastAsia="宋体" w:cs="Times New Roman"/>
                <w:color w:val="auto"/>
                <w:kern w:val="0"/>
                <w:sz w:val="18"/>
                <w:szCs w:val="18"/>
                <w:lang w:val="zh-CN"/>
              </w:rPr>
              <w:t>3600~4300</w:t>
            </w:r>
            <w:r>
              <w:rPr>
                <w:rFonts w:hint="eastAsia" w:ascii="Times New Roman" w:hAnsi="Times New Roman" w:eastAsia="宋体" w:cs="Times New Roman"/>
                <w:color w:val="auto"/>
                <w:kern w:val="0"/>
                <w:sz w:val="18"/>
                <w:szCs w:val="18"/>
                <w:lang w:val="zh-CN"/>
              </w:rPr>
              <w:t>元</w:t>
            </w:r>
            <w:r>
              <w:rPr>
                <w:rFonts w:ascii="Times New Roman" w:hAnsi="Times New Roman" w:eastAsia="宋体" w:cs="Times New Roman"/>
                <w:color w:val="auto"/>
                <w:kern w:val="0"/>
                <w:sz w:val="18"/>
                <w:szCs w:val="18"/>
                <w:lang w:val="zh-CN"/>
              </w:rPr>
              <w:t>/</w:t>
            </w:r>
            <w:r>
              <w:rPr>
                <w:rFonts w:hint="eastAsia" w:ascii="Times New Roman" w:hAnsi="Times New Roman" w:eastAsia="宋体" w:cs="Times New Roman"/>
                <w:color w:val="auto"/>
                <w:kern w:val="0"/>
                <w:sz w:val="18"/>
                <w:szCs w:val="18"/>
                <w:lang w:val="zh-CN"/>
              </w:rPr>
              <w:t>吨</w:t>
            </w:r>
          </w:p>
        </w:tc>
        <w:tc>
          <w:tcPr>
            <w:tcW w:w="2010"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ascii="Times New Roman" w:hAnsi="Times New Roman" w:eastAsia="宋体" w:cs="Times New Roman"/>
                <w:color w:val="auto"/>
                <w:kern w:val="0"/>
                <w:sz w:val="18"/>
                <w:szCs w:val="18"/>
                <w:lang w:val="zh-CN"/>
              </w:rPr>
              <w:t>2800~3300</w:t>
            </w:r>
            <w:r>
              <w:rPr>
                <w:rFonts w:hint="eastAsia" w:ascii="Times New Roman" w:hAnsi="Times New Roman" w:eastAsia="宋体" w:cs="Times New Roman"/>
                <w:color w:val="auto"/>
                <w:kern w:val="0"/>
                <w:sz w:val="18"/>
                <w:szCs w:val="18"/>
                <w:lang w:val="zh-CN"/>
              </w:rPr>
              <w:t>元</w:t>
            </w:r>
            <w:r>
              <w:rPr>
                <w:rFonts w:ascii="Times New Roman" w:hAnsi="Times New Roman" w:eastAsia="宋体" w:cs="Times New Roman"/>
                <w:color w:val="auto"/>
                <w:kern w:val="0"/>
                <w:sz w:val="18"/>
                <w:szCs w:val="18"/>
                <w:lang w:val="zh-CN"/>
              </w:rPr>
              <w:t>/</w:t>
            </w:r>
            <w:r>
              <w:rPr>
                <w:rFonts w:hint="eastAsia" w:ascii="Times New Roman" w:hAnsi="Times New Roman" w:eastAsia="宋体" w:cs="Times New Roman"/>
                <w:color w:val="auto"/>
                <w:kern w:val="0"/>
                <w:sz w:val="18"/>
                <w:szCs w:val="18"/>
                <w:lang w:val="zh-CN"/>
              </w:rPr>
              <w:t>吨</w:t>
            </w:r>
          </w:p>
        </w:tc>
        <w:tc>
          <w:tcPr>
            <w:tcW w:w="1984"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ascii="Times New Roman" w:hAnsi="Times New Roman" w:eastAsia="宋体" w:cs="Times New Roman"/>
                <w:color w:val="auto"/>
                <w:kern w:val="0"/>
                <w:sz w:val="18"/>
                <w:szCs w:val="18"/>
                <w:lang w:val="zh-CN"/>
              </w:rPr>
              <w:t>2700~3200</w:t>
            </w:r>
            <w:r>
              <w:rPr>
                <w:rFonts w:hint="eastAsia" w:ascii="Times New Roman" w:hAnsi="Times New Roman" w:eastAsia="宋体" w:cs="Times New Roman"/>
                <w:color w:val="auto"/>
                <w:kern w:val="0"/>
                <w:sz w:val="18"/>
                <w:szCs w:val="18"/>
                <w:lang w:val="zh-CN"/>
              </w:rPr>
              <w:t>元</w:t>
            </w:r>
            <w:r>
              <w:rPr>
                <w:rFonts w:ascii="Times New Roman" w:hAnsi="Times New Roman" w:eastAsia="宋体" w:cs="Times New Roman"/>
                <w:color w:val="auto"/>
                <w:kern w:val="0"/>
                <w:sz w:val="18"/>
                <w:szCs w:val="18"/>
                <w:lang w:val="zh-CN"/>
              </w:rPr>
              <w:t>/</w:t>
            </w:r>
            <w:r>
              <w:rPr>
                <w:rFonts w:hint="eastAsia" w:ascii="Times New Roman" w:hAnsi="Times New Roman" w:eastAsia="宋体" w:cs="Times New Roman"/>
                <w:color w:val="auto"/>
                <w:kern w:val="0"/>
                <w:sz w:val="18"/>
                <w:szCs w:val="18"/>
                <w:lang w:val="zh-CN"/>
              </w:rPr>
              <w:t>吨</w:t>
            </w:r>
          </w:p>
        </w:tc>
        <w:tc>
          <w:tcPr>
            <w:tcW w:w="1688"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ascii="Times New Roman" w:hAnsi="Times New Roman" w:eastAsia="宋体" w:cs="Times New Roman"/>
                <w:color w:val="auto"/>
                <w:kern w:val="0"/>
                <w:sz w:val="18"/>
                <w:szCs w:val="18"/>
                <w:lang w:val="zh-CN"/>
              </w:rPr>
              <w:t>2700~3200</w:t>
            </w:r>
            <w:r>
              <w:rPr>
                <w:rFonts w:hint="eastAsia" w:ascii="Times New Roman" w:hAnsi="Times New Roman" w:eastAsia="宋体" w:cs="Times New Roman"/>
                <w:color w:val="auto"/>
                <w:kern w:val="0"/>
                <w:sz w:val="18"/>
                <w:szCs w:val="18"/>
                <w:lang w:val="zh-CN"/>
              </w:rPr>
              <w:t>元</w:t>
            </w:r>
            <w:r>
              <w:rPr>
                <w:rFonts w:ascii="Times New Roman" w:hAnsi="Times New Roman" w:eastAsia="宋体" w:cs="Times New Roman"/>
                <w:color w:val="auto"/>
                <w:kern w:val="0"/>
                <w:sz w:val="18"/>
                <w:szCs w:val="18"/>
                <w:lang w:val="zh-CN"/>
              </w:rPr>
              <w:t>/</w:t>
            </w:r>
            <w:r>
              <w:rPr>
                <w:rFonts w:hint="eastAsia" w:ascii="Times New Roman" w:hAnsi="Times New Roman" w:eastAsia="宋体" w:cs="Times New Roman"/>
                <w:color w:val="auto"/>
                <w:kern w:val="0"/>
                <w:sz w:val="18"/>
                <w:szCs w:val="18"/>
                <w:lang w:val="zh-CN"/>
              </w:rPr>
              <w:t>吨</w:t>
            </w:r>
          </w:p>
        </w:tc>
        <w:tc>
          <w:tcPr>
            <w:tcW w:w="1573"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ascii="Times New Roman" w:hAnsi="Times New Roman" w:eastAsia="宋体" w:cs="Times New Roman"/>
                <w:color w:val="auto"/>
                <w:kern w:val="0"/>
                <w:sz w:val="18"/>
                <w:szCs w:val="18"/>
                <w:lang w:val="zh-CN"/>
              </w:rPr>
              <w:t>2700~3200</w:t>
            </w:r>
            <w:r>
              <w:rPr>
                <w:rFonts w:hint="eastAsia" w:ascii="Times New Roman" w:hAnsi="Times New Roman" w:eastAsia="宋体" w:cs="Times New Roman"/>
                <w:color w:val="auto"/>
                <w:kern w:val="0"/>
                <w:sz w:val="18"/>
                <w:szCs w:val="18"/>
                <w:lang w:val="zh-CN"/>
              </w:rPr>
              <w:t>元</w:t>
            </w:r>
            <w:r>
              <w:rPr>
                <w:rFonts w:ascii="Times New Roman" w:hAnsi="Times New Roman" w:eastAsia="宋体" w:cs="Times New Roman"/>
                <w:color w:val="auto"/>
                <w:kern w:val="0"/>
                <w:sz w:val="18"/>
                <w:szCs w:val="18"/>
                <w:lang w:val="zh-CN"/>
              </w:rPr>
              <w:t>/</w:t>
            </w:r>
            <w:r>
              <w:rPr>
                <w:rFonts w:hint="eastAsia" w:ascii="Times New Roman" w:hAnsi="Times New Roman" w:eastAsia="宋体" w:cs="Times New Roman"/>
                <w:color w:val="auto"/>
                <w:kern w:val="0"/>
                <w:sz w:val="18"/>
                <w:szCs w:val="18"/>
                <w:lang w:val="zh-CN"/>
              </w:rPr>
              <w:t>吨</w:t>
            </w:r>
          </w:p>
        </w:tc>
        <w:tc>
          <w:tcPr>
            <w:tcW w:w="1567"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ascii="Times New Roman" w:hAnsi="Times New Roman" w:eastAsia="宋体" w:cs="Times New Roman"/>
                <w:color w:val="auto"/>
                <w:kern w:val="0"/>
                <w:sz w:val="18"/>
                <w:szCs w:val="18"/>
                <w:lang w:val="zh-CN"/>
              </w:rPr>
              <w:t>2800~3300</w:t>
            </w:r>
            <w:r>
              <w:rPr>
                <w:rFonts w:hint="eastAsia" w:ascii="Times New Roman" w:hAnsi="Times New Roman" w:eastAsia="宋体" w:cs="Times New Roman"/>
                <w:color w:val="auto"/>
                <w:kern w:val="0"/>
                <w:sz w:val="18"/>
                <w:szCs w:val="18"/>
                <w:lang w:val="zh-CN"/>
              </w:rPr>
              <w:t>元</w:t>
            </w:r>
            <w:r>
              <w:rPr>
                <w:rFonts w:ascii="Times New Roman" w:hAnsi="Times New Roman" w:eastAsia="宋体" w:cs="Times New Roman"/>
                <w:color w:val="auto"/>
                <w:kern w:val="0"/>
                <w:sz w:val="18"/>
                <w:szCs w:val="18"/>
                <w:lang w:val="zh-CN"/>
              </w:rPr>
              <w:t>/</w:t>
            </w:r>
            <w:r>
              <w:rPr>
                <w:rFonts w:hint="eastAsia" w:ascii="Times New Roman" w:hAnsi="Times New Roman" w:eastAsia="宋体" w:cs="Times New Roman"/>
                <w:color w:val="auto"/>
                <w:kern w:val="0"/>
                <w:sz w:val="18"/>
                <w:szCs w:val="18"/>
                <w:lang w:val="zh-CN"/>
              </w:rPr>
              <w:t>吨</w:t>
            </w:r>
          </w:p>
        </w:tc>
        <w:tc>
          <w:tcPr>
            <w:tcW w:w="1551"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ascii="Times New Roman" w:hAnsi="Times New Roman" w:eastAsia="宋体" w:cs="Times New Roman"/>
                <w:color w:val="auto"/>
                <w:kern w:val="0"/>
                <w:sz w:val="18"/>
                <w:szCs w:val="18"/>
                <w:lang w:val="zh-CN"/>
              </w:rPr>
              <w:t>2800~3300</w:t>
            </w:r>
            <w:r>
              <w:rPr>
                <w:rFonts w:hint="eastAsia" w:ascii="Times New Roman" w:hAnsi="Times New Roman" w:eastAsia="宋体" w:cs="Times New Roman"/>
                <w:color w:val="auto"/>
                <w:kern w:val="0"/>
                <w:sz w:val="18"/>
                <w:szCs w:val="18"/>
                <w:lang w:val="zh-CN"/>
              </w:rPr>
              <w:t>元</w:t>
            </w:r>
            <w:r>
              <w:rPr>
                <w:rFonts w:ascii="Times New Roman" w:hAnsi="Times New Roman" w:eastAsia="宋体" w:cs="Times New Roman"/>
                <w:color w:val="auto"/>
                <w:kern w:val="0"/>
                <w:sz w:val="18"/>
                <w:szCs w:val="18"/>
                <w:lang w:val="zh-CN"/>
              </w:rPr>
              <w:t>/</w:t>
            </w:r>
            <w:r>
              <w:rPr>
                <w:rFonts w:hint="eastAsia" w:ascii="Times New Roman" w:hAnsi="Times New Roman" w:eastAsia="宋体" w:cs="Times New Roman"/>
                <w:color w:val="auto"/>
                <w:kern w:val="0"/>
                <w:sz w:val="18"/>
                <w:szCs w:val="18"/>
                <w:lang w:val="zh-CN"/>
              </w:rPr>
              <w:t>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64"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优点</w:t>
            </w:r>
          </w:p>
        </w:tc>
        <w:tc>
          <w:tcPr>
            <w:tcW w:w="3831" w:type="dxa"/>
            <w:gridSpan w:val="2"/>
            <w:vAlign w:val="center"/>
          </w:tcPr>
          <w:p>
            <w:pPr>
              <w:pStyle w:val="23"/>
              <w:ind w:firstLine="0" w:firstLineChars="0"/>
              <w:rPr>
                <w:rFonts w:ascii="Times New Roman" w:hAnsi="Times New Roman" w:eastAsia="宋体" w:cs="Times New Roman"/>
                <w:color w:val="auto"/>
                <w:kern w:val="0"/>
                <w:sz w:val="18"/>
                <w:szCs w:val="18"/>
                <w:lang w:val="zh-CN"/>
              </w:rPr>
            </w:pPr>
            <w:r>
              <w:rPr>
                <w:rFonts w:hint="eastAsia" w:ascii="宋体" w:hAnsi="宋体" w:eastAsia="宋体" w:cs="宋体"/>
                <w:color w:val="auto"/>
                <w:kern w:val="0"/>
                <w:sz w:val="18"/>
                <w:szCs w:val="18"/>
                <w:lang w:val="zh-CN"/>
              </w:rPr>
              <w:t>①</w:t>
            </w:r>
            <w:r>
              <w:rPr>
                <w:rFonts w:hint="eastAsia" w:ascii="Times New Roman" w:hAnsi="Times New Roman" w:eastAsia="宋体" w:cs="Times New Roman"/>
                <w:color w:val="auto"/>
                <w:kern w:val="0"/>
                <w:sz w:val="18"/>
                <w:szCs w:val="18"/>
                <w:lang w:val="zh-CN"/>
              </w:rPr>
              <w:t>适应范围广，无需分拣和破碎的预处理；</w:t>
            </w:r>
            <w:r>
              <w:rPr>
                <w:rFonts w:hint="eastAsia" w:ascii="宋体" w:hAnsi="宋体" w:eastAsia="宋体" w:cs="宋体"/>
                <w:color w:val="auto"/>
                <w:kern w:val="0"/>
                <w:sz w:val="18"/>
                <w:szCs w:val="18"/>
                <w:lang w:val="zh-CN"/>
              </w:rPr>
              <w:t>②</w:t>
            </w:r>
            <w:r>
              <w:rPr>
                <w:rFonts w:hint="eastAsia" w:ascii="Times New Roman" w:hAnsi="Times New Roman" w:eastAsia="宋体" w:cs="Times New Roman"/>
                <w:color w:val="auto"/>
                <w:kern w:val="0"/>
                <w:sz w:val="18"/>
                <w:szCs w:val="18"/>
                <w:lang w:val="zh-CN"/>
              </w:rPr>
              <w:t>无害化彻底、减容减量效果明显；</w:t>
            </w:r>
            <w:r>
              <w:rPr>
                <w:rFonts w:hint="eastAsia" w:ascii="宋体" w:hAnsi="宋体" w:eastAsia="宋体" w:cs="宋体"/>
                <w:color w:val="auto"/>
                <w:kern w:val="0"/>
                <w:sz w:val="18"/>
                <w:szCs w:val="18"/>
                <w:lang w:val="zh-CN"/>
              </w:rPr>
              <w:t>③</w:t>
            </w:r>
            <w:r>
              <w:rPr>
                <w:rFonts w:hint="eastAsia" w:ascii="Times New Roman" w:hAnsi="Times New Roman" w:eastAsia="宋体" w:cs="Times New Roman"/>
                <w:color w:val="auto"/>
                <w:kern w:val="0"/>
                <w:sz w:val="18"/>
                <w:szCs w:val="18"/>
                <w:lang w:val="zh-CN"/>
              </w:rPr>
              <w:t>余热可利用；</w:t>
            </w:r>
            <w:r>
              <w:rPr>
                <w:rFonts w:hint="eastAsia" w:ascii="宋体" w:hAnsi="宋体" w:eastAsia="宋体" w:cs="宋体"/>
                <w:color w:val="auto"/>
                <w:kern w:val="0"/>
                <w:sz w:val="18"/>
                <w:szCs w:val="18"/>
                <w:lang w:val="zh-CN"/>
              </w:rPr>
              <w:t>④</w:t>
            </w:r>
            <w:r>
              <w:rPr>
                <w:rFonts w:hint="eastAsia" w:ascii="Times New Roman" w:hAnsi="Times New Roman" w:eastAsia="宋体" w:cs="Times New Roman"/>
                <w:color w:val="auto"/>
                <w:kern w:val="0"/>
                <w:sz w:val="18"/>
                <w:szCs w:val="18"/>
                <w:lang w:val="zh-CN"/>
              </w:rPr>
              <w:t>技术较成熟，有严格的标准</w:t>
            </w:r>
          </w:p>
        </w:tc>
        <w:tc>
          <w:tcPr>
            <w:tcW w:w="1984" w:type="dxa"/>
            <w:vAlign w:val="center"/>
          </w:tcPr>
          <w:p>
            <w:pPr>
              <w:pStyle w:val="23"/>
              <w:ind w:firstLine="0" w:firstLineChars="0"/>
              <w:rPr>
                <w:rFonts w:ascii="Times New Roman" w:hAnsi="Times New Roman" w:eastAsia="宋体" w:cs="Times New Roman"/>
                <w:color w:val="auto"/>
                <w:kern w:val="0"/>
                <w:sz w:val="18"/>
                <w:szCs w:val="18"/>
                <w:lang w:val="zh-CN"/>
              </w:rPr>
            </w:pPr>
            <w:r>
              <w:rPr>
                <w:rFonts w:hint="eastAsia" w:ascii="宋体" w:hAnsi="宋体" w:eastAsia="宋体" w:cs="宋体"/>
                <w:color w:val="auto"/>
                <w:kern w:val="0"/>
                <w:sz w:val="18"/>
                <w:szCs w:val="18"/>
                <w:lang w:val="zh-CN"/>
              </w:rPr>
              <w:t>①</w:t>
            </w:r>
            <w:r>
              <w:rPr>
                <w:rFonts w:hint="eastAsia" w:ascii="Times New Roman" w:hAnsi="Times New Roman" w:eastAsia="宋体" w:cs="Times New Roman"/>
                <w:color w:val="auto"/>
                <w:kern w:val="0"/>
                <w:sz w:val="18"/>
                <w:szCs w:val="18"/>
                <w:lang w:val="zh-CN"/>
              </w:rPr>
              <w:t>适应范围广；</w:t>
            </w:r>
            <w:r>
              <w:rPr>
                <w:rFonts w:hint="eastAsia" w:ascii="宋体" w:hAnsi="宋体" w:eastAsia="宋体" w:cs="宋体"/>
                <w:color w:val="auto"/>
                <w:kern w:val="0"/>
                <w:sz w:val="18"/>
                <w:szCs w:val="18"/>
                <w:lang w:val="zh-CN"/>
              </w:rPr>
              <w:t>②</w:t>
            </w:r>
            <w:r>
              <w:rPr>
                <w:rFonts w:hint="eastAsia" w:ascii="Times New Roman" w:hAnsi="Times New Roman" w:eastAsia="宋体" w:cs="Times New Roman"/>
                <w:color w:val="auto"/>
                <w:kern w:val="0"/>
                <w:sz w:val="18"/>
                <w:szCs w:val="18"/>
                <w:lang w:val="zh-CN"/>
              </w:rPr>
              <w:t>无害化彻底、减容减量程度高；</w:t>
            </w:r>
            <w:r>
              <w:rPr>
                <w:rFonts w:hint="eastAsia" w:ascii="宋体" w:hAnsi="宋体" w:eastAsia="宋体" w:cs="宋体"/>
                <w:color w:val="auto"/>
                <w:kern w:val="0"/>
                <w:sz w:val="18"/>
                <w:szCs w:val="18"/>
                <w:lang w:val="zh-CN"/>
              </w:rPr>
              <w:t>③</w:t>
            </w:r>
            <w:r>
              <w:rPr>
                <w:rFonts w:hint="eastAsia" w:ascii="Times New Roman" w:hAnsi="Times New Roman" w:eastAsia="宋体" w:cs="Times New Roman"/>
                <w:color w:val="auto"/>
                <w:kern w:val="0"/>
                <w:sz w:val="18"/>
                <w:szCs w:val="18"/>
                <w:lang w:val="zh-CN"/>
              </w:rPr>
              <w:t>二噁英类等污染物产生量极低；</w:t>
            </w:r>
            <w:r>
              <w:rPr>
                <w:rFonts w:hint="eastAsia" w:ascii="宋体" w:hAnsi="宋体" w:eastAsia="宋体" w:cs="宋体"/>
                <w:color w:val="auto"/>
                <w:kern w:val="0"/>
                <w:sz w:val="18"/>
                <w:szCs w:val="18"/>
                <w:lang w:val="zh-CN"/>
              </w:rPr>
              <w:t>④</w:t>
            </w:r>
            <w:r>
              <w:rPr>
                <w:rFonts w:hint="eastAsia" w:ascii="Times New Roman" w:hAnsi="Times New Roman" w:eastAsia="宋体" w:cs="Times New Roman"/>
                <w:color w:val="auto"/>
                <w:kern w:val="0"/>
                <w:sz w:val="18"/>
                <w:szCs w:val="18"/>
                <w:lang w:val="zh-CN"/>
              </w:rPr>
              <w:t>产品可资源化</w:t>
            </w:r>
          </w:p>
        </w:tc>
        <w:tc>
          <w:tcPr>
            <w:tcW w:w="1688" w:type="dxa"/>
            <w:vAlign w:val="center"/>
          </w:tcPr>
          <w:p>
            <w:pPr>
              <w:pStyle w:val="23"/>
              <w:ind w:firstLine="0" w:firstLineChars="0"/>
              <w:rPr>
                <w:rFonts w:ascii="Times New Roman" w:hAnsi="Times New Roman" w:eastAsia="宋体" w:cs="Times New Roman"/>
                <w:color w:val="auto"/>
                <w:kern w:val="0"/>
                <w:sz w:val="18"/>
                <w:szCs w:val="18"/>
                <w:lang w:val="zh-CN"/>
              </w:rPr>
            </w:pPr>
            <w:r>
              <w:rPr>
                <w:rFonts w:hint="eastAsia" w:ascii="宋体" w:hAnsi="宋体" w:eastAsia="宋体" w:cs="宋体"/>
                <w:color w:val="auto"/>
                <w:kern w:val="0"/>
                <w:sz w:val="18"/>
                <w:szCs w:val="18"/>
                <w:lang w:val="zh-CN"/>
              </w:rPr>
              <w:t>①</w:t>
            </w:r>
            <w:r>
              <w:rPr>
                <w:rFonts w:hint="eastAsia" w:ascii="Times New Roman" w:hAnsi="Times New Roman" w:eastAsia="宋体" w:cs="Times New Roman"/>
                <w:color w:val="auto"/>
                <w:kern w:val="0"/>
                <w:sz w:val="18"/>
                <w:szCs w:val="18"/>
                <w:lang w:val="zh-CN"/>
              </w:rPr>
              <w:t>灭菌效率高；</w:t>
            </w:r>
            <w:r>
              <w:rPr>
                <w:rFonts w:hint="eastAsia" w:ascii="宋体" w:hAnsi="宋体" w:eastAsia="宋体" w:cs="宋体"/>
                <w:color w:val="auto"/>
                <w:kern w:val="0"/>
                <w:sz w:val="18"/>
                <w:szCs w:val="18"/>
                <w:lang w:val="zh-CN"/>
              </w:rPr>
              <w:t>②</w:t>
            </w:r>
            <w:r>
              <w:rPr>
                <w:rFonts w:hint="eastAsia" w:ascii="Times New Roman" w:hAnsi="Times New Roman" w:eastAsia="宋体" w:cs="Times New Roman"/>
                <w:color w:val="auto"/>
                <w:kern w:val="0"/>
                <w:sz w:val="18"/>
                <w:szCs w:val="18"/>
                <w:lang w:val="zh-CN"/>
              </w:rPr>
              <w:t>工程造价和运行费用较低；</w:t>
            </w:r>
            <w:r>
              <w:rPr>
                <w:rFonts w:hint="eastAsia" w:ascii="宋体" w:hAnsi="宋体" w:eastAsia="宋体" w:cs="宋体"/>
                <w:color w:val="auto"/>
                <w:kern w:val="0"/>
                <w:sz w:val="18"/>
                <w:szCs w:val="18"/>
                <w:lang w:val="zh-CN"/>
              </w:rPr>
              <w:t>③</w:t>
            </w:r>
            <w:r>
              <w:rPr>
                <w:rFonts w:hint="eastAsia" w:ascii="Times New Roman" w:hAnsi="Times New Roman" w:eastAsia="宋体" w:cs="Times New Roman"/>
                <w:color w:val="auto"/>
                <w:kern w:val="0"/>
                <w:sz w:val="18"/>
                <w:szCs w:val="18"/>
                <w:lang w:val="zh-CN"/>
              </w:rPr>
              <w:t>无酸性气体、重金属和二噁英类等有毒有害气体</w:t>
            </w:r>
          </w:p>
        </w:tc>
        <w:tc>
          <w:tcPr>
            <w:tcW w:w="1573" w:type="dxa"/>
            <w:vAlign w:val="center"/>
          </w:tcPr>
          <w:p>
            <w:pPr>
              <w:pStyle w:val="23"/>
              <w:ind w:firstLine="0" w:firstLineChars="0"/>
              <w:rPr>
                <w:rFonts w:ascii="Times New Roman" w:hAnsi="Times New Roman" w:eastAsia="宋体" w:cs="Times New Roman"/>
                <w:color w:val="auto"/>
                <w:kern w:val="0"/>
                <w:sz w:val="18"/>
                <w:szCs w:val="18"/>
                <w:lang w:val="zh-CN"/>
              </w:rPr>
            </w:pPr>
            <w:r>
              <w:rPr>
                <w:rFonts w:hint="eastAsia" w:ascii="宋体" w:hAnsi="宋体" w:eastAsia="宋体" w:cs="宋体"/>
                <w:color w:val="auto"/>
                <w:kern w:val="0"/>
                <w:sz w:val="18"/>
                <w:szCs w:val="18"/>
                <w:lang w:val="zh-CN"/>
              </w:rPr>
              <w:t>①</w:t>
            </w:r>
            <w:r>
              <w:rPr>
                <w:rFonts w:hint="eastAsia" w:ascii="Times New Roman" w:hAnsi="Times New Roman" w:eastAsia="宋体" w:cs="Times New Roman"/>
                <w:color w:val="auto"/>
                <w:kern w:val="0"/>
                <w:sz w:val="18"/>
                <w:szCs w:val="18"/>
                <w:lang w:val="zh-CN"/>
              </w:rPr>
              <w:t>物体升温快、灭菌效率高；</w:t>
            </w:r>
            <w:r>
              <w:rPr>
                <w:rFonts w:hint="eastAsia" w:ascii="宋体" w:hAnsi="宋体" w:eastAsia="宋体" w:cs="宋体"/>
                <w:color w:val="auto"/>
                <w:kern w:val="0"/>
                <w:sz w:val="18"/>
                <w:szCs w:val="18"/>
                <w:lang w:val="zh-CN"/>
              </w:rPr>
              <w:t>②</w:t>
            </w:r>
            <w:r>
              <w:rPr>
                <w:rFonts w:hint="eastAsia" w:ascii="Times New Roman" w:hAnsi="Times New Roman" w:eastAsia="宋体" w:cs="Times New Roman"/>
                <w:color w:val="auto"/>
                <w:kern w:val="0"/>
                <w:sz w:val="18"/>
                <w:szCs w:val="18"/>
                <w:lang w:val="zh-CN"/>
              </w:rPr>
              <w:t>处理过程不需加入化学药剂；</w:t>
            </w:r>
            <w:r>
              <w:rPr>
                <w:rFonts w:hint="eastAsia" w:ascii="宋体" w:hAnsi="宋体" w:eastAsia="宋体" w:cs="宋体"/>
                <w:color w:val="auto"/>
                <w:kern w:val="0"/>
                <w:sz w:val="18"/>
                <w:szCs w:val="18"/>
                <w:lang w:val="zh-CN"/>
              </w:rPr>
              <w:t>③</w:t>
            </w:r>
            <w:r>
              <w:rPr>
                <w:rFonts w:hint="eastAsia" w:ascii="Times New Roman" w:hAnsi="Times New Roman" w:eastAsia="宋体" w:cs="Times New Roman"/>
                <w:color w:val="auto"/>
                <w:kern w:val="0"/>
                <w:sz w:val="18"/>
                <w:szCs w:val="18"/>
                <w:lang w:val="zh-CN"/>
              </w:rPr>
              <w:t>不产生酸性气体及二噁英类等气体污染物</w:t>
            </w:r>
          </w:p>
        </w:tc>
        <w:tc>
          <w:tcPr>
            <w:tcW w:w="1567" w:type="dxa"/>
            <w:vAlign w:val="center"/>
          </w:tcPr>
          <w:p>
            <w:pPr>
              <w:pStyle w:val="23"/>
              <w:ind w:firstLine="0" w:firstLineChars="0"/>
              <w:rPr>
                <w:rFonts w:ascii="Times New Roman" w:hAnsi="Times New Roman" w:eastAsia="宋体" w:cs="Times New Roman"/>
                <w:color w:val="auto"/>
                <w:kern w:val="0"/>
                <w:sz w:val="18"/>
                <w:szCs w:val="18"/>
                <w:lang w:val="zh-CN"/>
              </w:rPr>
            </w:pPr>
            <w:r>
              <w:rPr>
                <w:rFonts w:hint="eastAsia" w:ascii="宋体" w:hAnsi="宋体" w:eastAsia="宋体" w:cs="宋体"/>
                <w:color w:val="auto"/>
                <w:kern w:val="0"/>
                <w:sz w:val="18"/>
                <w:szCs w:val="18"/>
                <w:lang w:val="zh-CN"/>
              </w:rPr>
              <w:t>①</w:t>
            </w:r>
            <w:r>
              <w:rPr>
                <w:rFonts w:hint="eastAsia" w:ascii="Times New Roman" w:hAnsi="Times New Roman" w:eastAsia="宋体" w:cs="Times New Roman"/>
                <w:color w:val="auto"/>
                <w:kern w:val="0"/>
                <w:sz w:val="18"/>
                <w:szCs w:val="18"/>
                <w:lang w:val="zh-CN"/>
              </w:rPr>
              <w:t>工艺设备和操作简单方便；</w:t>
            </w:r>
            <w:r>
              <w:rPr>
                <w:rFonts w:hint="eastAsia" w:ascii="宋体" w:hAnsi="宋体" w:eastAsia="宋体" w:cs="宋体"/>
                <w:color w:val="auto"/>
                <w:kern w:val="0"/>
                <w:sz w:val="18"/>
                <w:szCs w:val="18"/>
                <w:lang w:val="zh-CN"/>
              </w:rPr>
              <w:t>②</w:t>
            </w:r>
            <w:r>
              <w:rPr>
                <w:rFonts w:hint="eastAsia" w:ascii="Times New Roman" w:hAnsi="Times New Roman" w:eastAsia="宋体" w:cs="Times New Roman"/>
                <w:color w:val="auto"/>
                <w:kern w:val="0"/>
                <w:sz w:val="18"/>
                <w:szCs w:val="18"/>
                <w:lang w:val="zh-CN"/>
              </w:rPr>
              <w:t>工程造价和运行费用较低；</w:t>
            </w:r>
            <w:r>
              <w:rPr>
                <w:rFonts w:hint="eastAsia" w:ascii="宋体" w:hAnsi="宋体" w:eastAsia="宋体" w:cs="宋体"/>
                <w:color w:val="auto"/>
                <w:kern w:val="0"/>
                <w:sz w:val="18"/>
                <w:szCs w:val="18"/>
                <w:lang w:val="zh-CN"/>
              </w:rPr>
              <w:t>③</w:t>
            </w:r>
            <w:r>
              <w:rPr>
                <w:rFonts w:hint="eastAsia" w:ascii="Times New Roman" w:hAnsi="Times New Roman" w:eastAsia="宋体" w:cs="Times New Roman"/>
                <w:color w:val="auto"/>
                <w:kern w:val="0"/>
                <w:sz w:val="18"/>
                <w:szCs w:val="18"/>
                <w:lang w:val="zh-CN"/>
              </w:rPr>
              <w:t>不产生酸性气体及二噁英类等气体污染物</w:t>
            </w:r>
          </w:p>
        </w:tc>
        <w:tc>
          <w:tcPr>
            <w:tcW w:w="1551" w:type="dxa"/>
            <w:vAlign w:val="center"/>
          </w:tcPr>
          <w:p>
            <w:pPr>
              <w:pStyle w:val="23"/>
              <w:ind w:firstLine="0" w:firstLineChars="0"/>
              <w:rPr>
                <w:rFonts w:ascii="Times New Roman" w:hAnsi="Times New Roman" w:eastAsia="宋体" w:cs="Times New Roman"/>
                <w:color w:val="auto"/>
                <w:kern w:val="0"/>
                <w:sz w:val="18"/>
                <w:szCs w:val="18"/>
                <w:lang w:val="zh-CN"/>
              </w:rPr>
            </w:pPr>
            <w:r>
              <w:rPr>
                <w:rFonts w:hint="eastAsia" w:ascii="宋体" w:hAnsi="宋体" w:eastAsia="宋体" w:cs="宋体"/>
                <w:color w:val="auto"/>
                <w:kern w:val="0"/>
                <w:sz w:val="18"/>
                <w:szCs w:val="18"/>
                <w:lang w:val="zh-CN"/>
              </w:rPr>
              <w:t>①</w:t>
            </w:r>
            <w:r>
              <w:rPr>
                <w:rFonts w:hint="eastAsia" w:ascii="Times New Roman" w:hAnsi="Times New Roman" w:eastAsia="宋体" w:cs="Times New Roman"/>
                <w:color w:val="auto"/>
                <w:kern w:val="0"/>
                <w:sz w:val="18"/>
                <w:szCs w:val="18"/>
                <w:lang w:val="zh-CN"/>
              </w:rPr>
              <w:t>工艺设备和操作较为简单；</w:t>
            </w:r>
            <w:r>
              <w:rPr>
                <w:rFonts w:hint="eastAsia" w:ascii="宋体" w:hAnsi="宋体" w:eastAsia="宋体" w:cs="宋体"/>
                <w:color w:val="auto"/>
                <w:kern w:val="0"/>
                <w:sz w:val="18"/>
                <w:szCs w:val="18"/>
                <w:lang w:val="zh-CN"/>
              </w:rPr>
              <w:t>②</w:t>
            </w:r>
            <w:r>
              <w:rPr>
                <w:rFonts w:hint="eastAsia" w:ascii="Times New Roman" w:hAnsi="Times New Roman" w:eastAsia="宋体" w:cs="Times New Roman"/>
                <w:color w:val="auto"/>
                <w:kern w:val="0"/>
                <w:sz w:val="18"/>
                <w:szCs w:val="18"/>
                <w:lang w:val="zh-CN"/>
              </w:rPr>
              <w:t>工程造价和运行费用较低；</w:t>
            </w:r>
            <w:r>
              <w:rPr>
                <w:rFonts w:hint="eastAsia" w:ascii="宋体" w:hAnsi="宋体" w:eastAsia="宋体" w:cs="宋体"/>
                <w:color w:val="auto"/>
                <w:kern w:val="0"/>
                <w:sz w:val="18"/>
                <w:szCs w:val="18"/>
                <w:lang w:val="zh-CN"/>
              </w:rPr>
              <w:t>③</w:t>
            </w:r>
            <w:r>
              <w:rPr>
                <w:rFonts w:hint="eastAsia" w:ascii="Times New Roman" w:hAnsi="Times New Roman" w:eastAsia="宋体" w:cs="Times New Roman"/>
                <w:color w:val="auto"/>
                <w:kern w:val="0"/>
                <w:sz w:val="18"/>
                <w:szCs w:val="18"/>
                <w:lang w:val="zh-CN"/>
              </w:rPr>
              <w:t>不产生酸性气体及二噁英类等气体污染物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64"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缺点</w:t>
            </w:r>
          </w:p>
        </w:tc>
        <w:tc>
          <w:tcPr>
            <w:tcW w:w="3831" w:type="dxa"/>
            <w:gridSpan w:val="2"/>
            <w:vAlign w:val="center"/>
          </w:tcPr>
          <w:p>
            <w:pPr>
              <w:pStyle w:val="23"/>
              <w:ind w:firstLine="0" w:firstLineChars="0"/>
              <w:rPr>
                <w:rFonts w:ascii="Times New Roman" w:hAnsi="Times New Roman" w:eastAsia="宋体" w:cs="Times New Roman"/>
                <w:color w:val="auto"/>
                <w:kern w:val="0"/>
                <w:sz w:val="18"/>
                <w:szCs w:val="18"/>
                <w:lang w:val="zh-CN"/>
              </w:rPr>
            </w:pPr>
            <w:r>
              <w:rPr>
                <w:rFonts w:hint="eastAsia" w:ascii="宋体" w:hAnsi="宋体" w:eastAsia="宋体" w:cs="宋体"/>
                <w:color w:val="auto"/>
                <w:kern w:val="0"/>
                <w:sz w:val="18"/>
                <w:szCs w:val="18"/>
                <w:lang w:val="zh-CN"/>
              </w:rPr>
              <w:t>①</w:t>
            </w:r>
            <w:r>
              <w:rPr>
                <w:rFonts w:hint="eastAsia" w:ascii="Times New Roman" w:hAnsi="Times New Roman" w:eastAsia="宋体" w:cs="Times New Roman"/>
                <w:color w:val="auto"/>
                <w:kern w:val="0"/>
                <w:sz w:val="18"/>
                <w:szCs w:val="18"/>
                <w:lang w:val="zh-CN"/>
              </w:rPr>
              <w:t>工程造价和运行费用较高；</w:t>
            </w:r>
            <w:r>
              <w:rPr>
                <w:rFonts w:hint="eastAsia" w:ascii="宋体" w:hAnsi="宋体" w:eastAsia="宋体" w:cs="宋体"/>
                <w:color w:val="auto"/>
                <w:kern w:val="0"/>
                <w:sz w:val="18"/>
                <w:szCs w:val="18"/>
                <w:lang w:val="zh-CN"/>
              </w:rPr>
              <w:t>②</w:t>
            </w:r>
            <w:r>
              <w:rPr>
                <w:rFonts w:hint="eastAsia" w:ascii="Times New Roman" w:hAnsi="Times New Roman" w:eastAsia="宋体" w:cs="Times New Roman"/>
                <w:color w:val="auto"/>
                <w:kern w:val="0"/>
                <w:sz w:val="18"/>
                <w:szCs w:val="18"/>
                <w:lang w:val="zh-CN"/>
              </w:rPr>
              <w:t>需采取复杂尾气系统控制焚烧烟气中的酸性气体、重金属和二噁英类等有毒有害物质排放；</w:t>
            </w:r>
            <w:r>
              <w:rPr>
                <w:rFonts w:hint="eastAsia" w:ascii="宋体" w:hAnsi="宋体" w:eastAsia="宋体" w:cs="宋体"/>
                <w:color w:val="auto"/>
                <w:kern w:val="0"/>
                <w:sz w:val="18"/>
                <w:szCs w:val="18"/>
                <w:lang w:val="zh-CN"/>
              </w:rPr>
              <w:t>③</w:t>
            </w:r>
            <w:r>
              <w:rPr>
                <w:rFonts w:hint="eastAsia" w:ascii="Times New Roman" w:hAnsi="Times New Roman" w:eastAsia="宋体" w:cs="Times New Roman"/>
                <w:color w:val="auto"/>
                <w:kern w:val="0"/>
                <w:sz w:val="18"/>
                <w:szCs w:val="18"/>
                <w:lang w:val="zh-CN"/>
              </w:rPr>
              <w:t>产生的飞灰需按危险废物处理；残渣仍需填埋</w:t>
            </w:r>
          </w:p>
        </w:tc>
        <w:tc>
          <w:tcPr>
            <w:tcW w:w="1984" w:type="dxa"/>
            <w:vAlign w:val="center"/>
          </w:tcPr>
          <w:p>
            <w:pPr>
              <w:pStyle w:val="23"/>
              <w:ind w:firstLine="0" w:firstLineChars="0"/>
              <w:rPr>
                <w:rFonts w:ascii="Times New Roman" w:hAnsi="Times New Roman" w:eastAsia="宋体" w:cs="Times New Roman"/>
                <w:color w:val="auto"/>
                <w:kern w:val="0"/>
                <w:sz w:val="18"/>
                <w:szCs w:val="18"/>
                <w:lang w:val="zh-CN"/>
              </w:rPr>
            </w:pPr>
            <w:r>
              <w:rPr>
                <w:rFonts w:hint="eastAsia" w:ascii="宋体" w:hAnsi="宋体" w:eastAsia="宋体" w:cs="宋体"/>
                <w:color w:val="auto"/>
                <w:kern w:val="0"/>
                <w:sz w:val="18"/>
                <w:szCs w:val="18"/>
                <w:lang w:val="zh-CN"/>
              </w:rPr>
              <w:t>①</w:t>
            </w:r>
            <w:r>
              <w:rPr>
                <w:rFonts w:hint="eastAsia" w:ascii="Times New Roman" w:hAnsi="Times New Roman" w:eastAsia="宋体" w:cs="Times New Roman"/>
                <w:color w:val="auto"/>
                <w:kern w:val="0"/>
                <w:sz w:val="18"/>
                <w:szCs w:val="18"/>
                <w:lang w:val="zh-CN"/>
              </w:rPr>
              <w:t>工程造价和运行费用较高；</w:t>
            </w:r>
            <w:r>
              <w:rPr>
                <w:rFonts w:hint="eastAsia" w:ascii="宋体" w:hAnsi="宋体" w:eastAsia="宋体" w:cs="宋体"/>
                <w:color w:val="auto"/>
                <w:kern w:val="0"/>
                <w:sz w:val="18"/>
                <w:szCs w:val="18"/>
                <w:lang w:val="zh-CN"/>
              </w:rPr>
              <w:t>②</w:t>
            </w:r>
            <w:r>
              <w:rPr>
                <w:rFonts w:hint="eastAsia" w:ascii="Times New Roman" w:hAnsi="Times New Roman" w:eastAsia="宋体" w:cs="Times New Roman"/>
                <w:color w:val="auto"/>
                <w:kern w:val="0"/>
                <w:sz w:val="18"/>
                <w:szCs w:val="18"/>
                <w:lang w:val="zh-CN"/>
              </w:rPr>
              <w:t>耗电量相对较高</w:t>
            </w:r>
          </w:p>
        </w:tc>
        <w:tc>
          <w:tcPr>
            <w:tcW w:w="1688" w:type="dxa"/>
            <w:vAlign w:val="center"/>
          </w:tcPr>
          <w:p>
            <w:pPr>
              <w:pStyle w:val="23"/>
              <w:ind w:firstLine="0" w:firstLineChars="0"/>
              <w:rPr>
                <w:rFonts w:ascii="Times New Roman" w:hAnsi="Times New Roman" w:eastAsia="宋体" w:cs="Times New Roman"/>
                <w:color w:val="auto"/>
                <w:kern w:val="0"/>
                <w:sz w:val="18"/>
                <w:szCs w:val="18"/>
                <w:lang w:val="zh-CN"/>
              </w:rPr>
            </w:pPr>
            <w:r>
              <w:rPr>
                <w:rFonts w:hint="eastAsia" w:ascii="宋体" w:hAnsi="宋体" w:eastAsia="宋体" w:cs="宋体"/>
                <w:color w:val="auto"/>
                <w:kern w:val="0"/>
                <w:sz w:val="18"/>
                <w:szCs w:val="18"/>
                <w:lang w:val="zh-CN"/>
              </w:rPr>
              <w:t>①</w:t>
            </w:r>
            <w:r>
              <w:rPr>
                <w:rFonts w:hint="eastAsia" w:ascii="Times New Roman" w:hAnsi="Times New Roman" w:eastAsia="宋体" w:cs="Times New Roman"/>
                <w:color w:val="auto"/>
                <w:kern w:val="0"/>
                <w:sz w:val="18"/>
                <w:szCs w:val="18"/>
                <w:lang w:val="zh-CN"/>
              </w:rPr>
              <w:t>不适合处理化学性、药物性、病理性废物；</w:t>
            </w:r>
            <w:r>
              <w:rPr>
                <w:rFonts w:hint="eastAsia" w:ascii="宋体" w:hAnsi="宋体" w:eastAsia="宋体" w:cs="宋体"/>
                <w:color w:val="auto"/>
                <w:kern w:val="0"/>
                <w:sz w:val="18"/>
                <w:szCs w:val="18"/>
                <w:lang w:val="zh-CN"/>
              </w:rPr>
              <w:t>②</w:t>
            </w:r>
            <w:r>
              <w:rPr>
                <w:rFonts w:hint="eastAsia" w:ascii="Times New Roman" w:hAnsi="Times New Roman" w:eastAsia="宋体" w:cs="Times New Roman"/>
                <w:color w:val="auto"/>
                <w:kern w:val="0"/>
                <w:sz w:val="18"/>
                <w:szCs w:val="18"/>
                <w:lang w:val="zh-CN"/>
              </w:rPr>
              <w:t>产生有害的恶臭气体、</w:t>
            </w:r>
            <w:r>
              <w:rPr>
                <w:rFonts w:ascii="Times New Roman" w:hAnsi="Times New Roman" w:eastAsia="宋体" w:cs="Times New Roman"/>
                <w:color w:val="auto"/>
                <w:kern w:val="0"/>
                <w:sz w:val="18"/>
                <w:szCs w:val="18"/>
                <w:lang w:val="zh-CN"/>
              </w:rPr>
              <w:t>VOCs</w:t>
            </w:r>
            <w:r>
              <w:rPr>
                <w:rFonts w:hint="eastAsia" w:ascii="Times New Roman" w:hAnsi="Times New Roman" w:eastAsia="宋体" w:cs="Times New Roman"/>
                <w:color w:val="auto"/>
                <w:kern w:val="0"/>
                <w:sz w:val="18"/>
                <w:szCs w:val="18"/>
                <w:lang w:val="zh-CN"/>
              </w:rPr>
              <w:t>，以及废液；</w:t>
            </w:r>
            <w:r>
              <w:rPr>
                <w:rFonts w:hint="eastAsia" w:ascii="宋体" w:hAnsi="宋体" w:eastAsia="宋体" w:cs="宋体"/>
                <w:color w:val="auto"/>
                <w:kern w:val="0"/>
                <w:sz w:val="18"/>
                <w:szCs w:val="18"/>
                <w:lang w:val="zh-CN"/>
              </w:rPr>
              <w:t>③</w:t>
            </w:r>
            <w:r>
              <w:rPr>
                <w:rFonts w:hint="eastAsia" w:ascii="Times New Roman" w:hAnsi="Times New Roman" w:eastAsia="宋体" w:cs="Times New Roman"/>
                <w:color w:val="auto"/>
                <w:kern w:val="0"/>
                <w:sz w:val="18"/>
                <w:szCs w:val="18"/>
                <w:lang w:val="zh-CN"/>
              </w:rPr>
              <w:t>减容比低，残渣仍需填埋或焚烧处置</w:t>
            </w:r>
          </w:p>
        </w:tc>
        <w:tc>
          <w:tcPr>
            <w:tcW w:w="1573" w:type="dxa"/>
            <w:vAlign w:val="center"/>
          </w:tcPr>
          <w:p>
            <w:pPr>
              <w:pStyle w:val="23"/>
              <w:ind w:firstLine="0" w:firstLineChars="0"/>
              <w:rPr>
                <w:rFonts w:ascii="Times New Roman" w:hAnsi="Times New Roman" w:eastAsia="宋体" w:cs="Times New Roman"/>
                <w:color w:val="auto"/>
                <w:kern w:val="0"/>
                <w:sz w:val="18"/>
                <w:szCs w:val="18"/>
                <w:lang w:val="zh-CN"/>
              </w:rPr>
            </w:pPr>
            <w:r>
              <w:rPr>
                <w:rFonts w:hint="eastAsia" w:ascii="宋体" w:hAnsi="宋体" w:eastAsia="宋体" w:cs="宋体"/>
                <w:color w:val="auto"/>
                <w:kern w:val="0"/>
                <w:sz w:val="18"/>
                <w:szCs w:val="18"/>
                <w:lang w:val="zh-CN"/>
              </w:rPr>
              <w:t>①</w:t>
            </w:r>
            <w:r>
              <w:rPr>
                <w:rFonts w:hint="eastAsia" w:ascii="Times New Roman" w:hAnsi="Times New Roman" w:eastAsia="宋体" w:cs="Times New Roman"/>
                <w:color w:val="auto"/>
                <w:kern w:val="0"/>
                <w:sz w:val="18"/>
                <w:szCs w:val="18"/>
                <w:lang w:val="zh-CN"/>
              </w:rPr>
              <w:t>不适合处理化学性、药物性废物；</w:t>
            </w:r>
            <w:r>
              <w:rPr>
                <w:rFonts w:hint="eastAsia" w:ascii="宋体" w:hAnsi="宋体" w:eastAsia="宋体" w:cs="宋体"/>
                <w:color w:val="auto"/>
                <w:kern w:val="0"/>
                <w:sz w:val="18"/>
                <w:szCs w:val="18"/>
                <w:lang w:val="zh-CN"/>
              </w:rPr>
              <w:t>②</w:t>
            </w:r>
            <w:r>
              <w:rPr>
                <w:rFonts w:hint="eastAsia" w:ascii="Times New Roman" w:hAnsi="Times New Roman" w:eastAsia="宋体" w:cs="Times New Roman"/>
                <w:color w:val="auto"/>
                <w:kern w:val="0"/>
                <w:sz w:val="18"/>
                <w:szCs w:val="18"/>
                <w:lang w:val="zh-CN"/>
              </w:rPr>
              <w:t>产生有害的恶臭气体、</w:t>
            </w:r>
            <w:r>
              <w:rPr>
                <w:rFonts w:ascii="Times New Roman" w:hAnsi="Times New Roman" w:eastAsia="宋体" w:cs="Times New Roman"/>
                <w:color w:val="auto"/>
                <w:kern w:val="0"/>
                <w:sz w:val="18"/>
                <w:szCs w:val="18"/>
                <w:lang w:val="zh-CN"/>
              </w:rPr>
              <w:t>VOCs</w:t>
            </w:r>
            <w:r>
              <w:rPr>
                <w:rFonts w:hint="eastAsia" w:ascii="Times New Roman" w:hAnsi="Times New Roman" w:eastAsia="宋体" w:cs="Times New Roman"/>
                <w:color w:val="auto"/>
                <w:kern w:val="0"/>
                <w:sz w:val="18"/>
                <w:szCs w:val="18"/>
                <w:lang w:val="zh-CN"/>
              </w:rPr>
              <w:t>等；</w:t>
            </w:r>
            <w:r>
              <w:rPr>
                <w:rFonts w:hint="eastAsia" w:ascii="宋体" w:hAnsi="宋体" w:eastAsia="宋体" w:cs="宋体"/>
                <w:color w:val="auto"/>
                <w:kern w:val="0"/>
                <w:sz w:val="18"/>
                <w:szCs w:val="18"/>
                <w:lang w:val="zh-CN"/>
              </w:rPr>
              <w:t>③</w:t>
            </w:r>
            <w:r>
              <w:rPr>
                <w:rFonts w:hint="eastAsia" w:ascii="Times New Roman" w:hAnsi="Times New Roman" w:eastAsia="宋体" w:cs="Times New Roman"/>
                <w:color w:val="auto"/>
                <w:kern w:val="0"/>
                <w:sz w:val="18"/>
                <w:szCs w:val="18"/>
                <w:lang w:val="zh-CN"/>
              </w:rPr>
              <w:t>减容比低，残渣仍需填埋或焚烧处置</w:t>
            </w:r>
          </w:p>
        </w:tc>
        <w:tc>
          <w:tcPr>
            <w:tcW w:w="1567" w:type="dxa"/>
            <w:vAlign w:val="center"/>
          </w:tcPr>
          <w:p>
            <w:pPr>
              <w:pStyle w:val="23"/>
              <w:ind w:firstLine="0" w:firstLineChars="0"/>
              <w:rPr>
                <w:rFonts w:ascii="Times New Roman" w:hAnsi="Times New Roman" w:eastAsia="宋体" w:cs="Times New Roman"/>
                <w:color w:val="auto"/>
                <w:kern w:val="0"/>
                <w:sz w:val="18"/>
                <w:szCs w:val="18"/>
                <w:lang w:val="zh-CN"/>
              </w:rPr>
            </w:pPr>
            <w:r>
              <w:rPr>
                <w:rFonts w:hint="eastAsia" w:ascii="宋体" w:hAnsi="宋体" w:eastAsia="宋体" w:cs="宋体"/>
                <w:color w:val="auto"/>
                <w:kern w:val="0"/>
                <w:sz w:val="18"/>
                <w:szCs w:val="18"/>
                <w:lang w:val="zh-CN"/>
              </w:rPr>
              <w:t>①</w:t>
            </w:r>
            <w:r>
              <w:rPr>
                <w:rFonts w:hint="eastAsia" w:ascii="Times New Roman" w:hAnsi="Times New Roman" w:eastAsia="宋体" w:cs="Times New Roman"/>
                <w:color w:val="auto"/>
                <w:kern w:val="0"/>
                <w:sz w:val="18"/>
                <w:szCs w:val="18"/>
                <w:lang w:val="zh-CN"/>
              </w:rPr>
              <w:t>不适合处理化学性、药物性废物；</w:t>
            </w:r>
            <w:r>
              <w:rPr>
                <w:rFonts w:hint="eastAsia" w:ascii="宋体" w:hAnsi="宋体" w:eastAsia="宋体" w:cs="宋体"/>
                <w:color w:val="auto"/>
                <w:kern w:val="0"/>
                <w:sz w:val="18"/>
                <w:szCs w:val="18"/>
                <w:lang w:val="zh-CN"/>
              </w:rPr>
              <w:t>②</w:t>
            </w:r>
            <w:r>
              <w:rPr>
                <w:rFonts w:hint="eastAsia" w:ascii="Times New Roman" w:hAnsi="Times New Roman" w:eastAsia="宋体" w:cs="Times New Roman"/>
                <w:color w:val="auto"/>
                <w:kern w:val="0"/>
                <w:sz w:val="18"/>
                <w:szCs w:val="18"/>
                <w:lang w:val="zh-CN"/>
              </w:rPr>
              <w:t>对破碎系统和操作过程的</w:t>
            </w:r>
            <w:r>
              <w:rPr>
                <w:rFonts w:ascii="Times New Roman" w:hAnsi="Times New Roman" w:eastAsia="宋体" w:cs="Times New Roman"/>
                <w:color w:val="auto"/>
                <w:kern w:val="0"/>
                <w:sz w:val="18"/>
                <w:szCs w:val="18"/>
                <w:lang w:val="zh-CN"/>
              </w:rPr>
              <w:t>pH</w:t>
            </w:r>
            <w:r>
              <w:rPr>
                <w:rFonts w:hint="eastAsia" w:ascii="Times New Roman" w:hAnsi="Times New Roman" w:eastAsia="宋体" w:cs="Times New Roman"/>
                <w:color w:val="auto"/>
                <w:kern w:val="0"/>
                <w:sz w:val="18"/>
                <w:szCs w:val="18"/>
                <w:lang w:val="zh-CN"/>
              </w:rPr>
              <w:t>值要求高；</w:t>
            </w:r>
            <w:r>
              <w:rPr>
                <w:rFonts w:hint="eastAsia" w:ascii="宋体" w:hAnsi="宋体" w:eastAsia="宋体" w:cs="宋体"/>
                <w:color w:val="auto"/>
                <w:kern w:val="0"/>
                <w:sz w:val="18"/>
                <w:szCs w:val="18"/>
                <w:lang w:val="zh-CN"/>
              </w:rPr>
              <w:t>③</w:t>
            </w:r>
            <w:r>
              <w:rPr>
                <w:rFonts w:hint="eastAsia" w:ascii="Times New Roman" w:hAnsi="Times New Roman" w:eastAsia="宋体" w:cs="Times New Roman"/>
                <w:color w:val="auto"/>
                <w:kern w:val="0"/>
                <w:sz w:val="18"/>
                <w:szCs w:val="18"/>
                <w:lang w:val="zh-CN"/>
              </w:rPr>
              <w:t>有废液和废气生成；</w:t>
            </w:r>
            <w:r>
              <w:rPr>
                <w:rFonts w:hint="eastAsia" w:ascii="宋体" w:hAnsi="宋体" w:eastAsia="宋体" w:cs="宋体"/>
                <w:color w:val="auto"/>
                <w:kern w:val="0"/>
                <w:sz w:val="18"/>
                <w:szCs w:val="18"/>
                <w:lang w:val="zh-CN"/>
              </w:rPr>
              <w:t>④</w:t>
            </w:r>
            <w:r>
              <w:rPr>
                <w:rFonts w:hint="eastAsia" w:ascii="Times New Roman" w:hAnsi="Times New Roman" w:eastAsia="宋体" w:cs="Times New Roman"/>
                <w:color w:val="auto"/>
                <w:kern w:val="0"/>
                <w:sz w:val="18"/>
                <w:szCs w:val="18"/>
                <w:lang w:val="zh-CN"/>
              </w:rPr>
              <w:t>残渣仍需填埋或焚烧处置</w:t>
            </w:r>
          </w:p>
        </w:tc>
        <w:tc>
          <w:tcPr>
            <w:tcW w:w="1551" w:type="dxa"/>
            <w:vAlign w:val="center"/>
          </w:tcPr>
          <w:p>
            <w:pPr>
              <w:pStyle w:val="23"/>
              <w:ind w:firstLine="0" w:firstLineChars="0"/>
              <w:rPr>
                <w:rFonts w:ascii="Times New Roman" w:hAnsi="Times New Roman" w:eastAsia="宋体" w:cs="Times New Roman"/>
                <w:color w:val="auto"/>
                <w:kern w:val="0"/>
                <w:sz w:val="18"/>
                <w:szCs w:val="18"/>
                <w:lang w:val="zh-CN"/>
              </w:rPr>
            </w:pPr>
            <w:r>
              <w:rPr>
                <w:rFonts w:hint="eastAsia" w:ascii="宋体" w:hAnsi="宋体" w:eastAsia="宋体" w:cs="宋体"/>
                <w:color w:val="auto"/>
                <w:kern w:val="0"/>
                <w:sz w:val="18"/>
                <w:szCs w:val="18"/>
                <w:lang w:val="zh-CN"/>
              </w:rPr>
              <w:t>①</w:t>
            </w:r>
            <w:r>
              <w:rPr>
                <w:rFonts w:hint="eastAsia" w:ascii="Times New Roman" w:hAnsi="Times New Roman" w:eastAsia="宋体" w:cs="Times New Roman"/>
                <w:color w:val="auto"/>
                <w:kern w:val="0"/>
                <w:sz w:val="18"/>
                <w:szCs w:val="18"/>
                <w:lang w:val="zh-CN"/>
              </w:rPr>
              <w:t>不适合处理化学性、药物性、病理性废物；</w:t>
            </w:r>
            <w:r>
              <w:rPr>
                <w:rFonts w:hint="eastAsia" w:ascii="宋体" w:hAnsi="宋体" w:eastAsia="宋体" w:cs="宋体"/>
                <w:color w:val="auto"/>
                <w:kern w:val="0"/>
                <w:sz w:val="18"/>
                <w:szCs w:val="18"/>
                <w:lang w:val="zh-CN"/>
              </w:rPr>
              <w:t>②</w:t>
            </w:r>
            <w:r>
              <w:rPr>
                <w:rFonts w:hint="eastAsia" w:ascii="Times New Roman" w:hAnsi="Times New Roman" w:eastAsia="宋体" w:cs="Times New Roman"/>
                <w:color w:val="auto"/>
                <w:kern w:val="0"/>
                <w:sz w:val="18"/>
                <w:szCs w:val="18"/>
                <w:lang w:val="zh-CN"/>
              </w:rPr>
              <w:t>对破碎系统要求高；</w:t>
            </w:r>
            <w:r>
              <w:rPr>
                <w:rFonts w:hint="eastAsia" w:ascii="宋体" w:hAnsi="宋体" w:eastAsia="宋体" w:cs="宋体"/>
                <w:color w:val="auto"/>
                <w:kern w:val="0"/>
                <w:sz w:val="18"/>
                <w:szCs w:val="18"/>
                <w:lang w:val="zh-CN"/>
              </w:rPr>
              <w:t>③</w:t>
            </w:r>
            <w:r>
              <w:rPr>
                <w:rFonts w:hint="eastAsia" w:ascii="Times New Roman" w:hAnsi="Times New Roman" w:eastAsia="宋体" w:cs="Times New Roman"/>
                <w:color w:val="auto"/>
                <w:kern w:val="0"/>
                <w:sz w:val="18"/>
                <w:szCs w:val="18"/>
                <w:lang w:val="zh-CN"/>
              </w:rPr>
              <w:t>消毒效果取决于操作条件；</w:t>
            </w:r>
            <w:r>
              <w:rPr>
                <w:rFonts w:hint="eastAsia" w:ascii="宋体" w:hAnsi="宋体" w:eastAsia="宋体" w:cs="宋体"/>
                <w:color w:val="auto"/>
                <w:kern w:val="0"/>
                <w:sz w:val="18"/>
                <w:szCs w:val="18"/>
                <w:lang w:val="zh-CN"/>
              </w:rPr>
              <w:t>④</w:t>
            </w:r>
            <w:r>
              <w:rPr>
                <w:rFonts w:hint="eastAsia" w:ascii="Times New Roman" w:hAnsi="Times New Roman" w:eastAsia="宋体" w:cs="Times New Roman"/>
                <w:color w:val="auto"/>
                <w:kern w:val="0"/>
                <w:sz w:val="18"/>
                <w:szCs w:val="18"/>
                <w:lang w:val="zh-CN"/>
              </w:rPr>
              <w:t>残渣仍需填埋或焚烧处置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64" w:type="dxa"/>
            <w:vAlign w:val="center"/>
          </w:tcPr>
          <w:p>
            <w:pPr>
              <w:pStyle w:val="23"/>
              <w:ind w:firstLine="0" w:firstLineChars="0"/>
              <w:jc w:val="center"/>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说明</w:t>
            </w:r>
          </w:p>
        </w:tc>
        <w:tc>
          <w:tcPr>
            <w:tcW w:w="12194" w:type="dxa"/>
            <w:gridSpan w:val="7"/>
            <w:vAlign w:val="center"/>
          </w:tcPr>
          <w:p>
            <w:pPr>
              <w:pStyle w:val="23"/>
              <w:ind w:firstLine="0" w:firstLineChars="0"/>
              <w:rPr>
                <w:rFonts w:ascii="Times New Roman" w:hAnsi="Times New Roman" w:eastAsia="宋体" w:cs="Times New Roman"/>
                <w:color w:val="auto"/>
                <w:kern w:val="0"/>
                <w:sz w:val="18"/>
                <w:szCs w:val="18"/>
                <w:lang w:val="zh-CN"/>
              </w:rPr>
            </w:pPr>
            <w:r>
              <w:rPr>
                <w:rFonts w:hint="eastAsia" w:ascii="Times New Roman" w:hAnsi="Times New Roman" w:eastAsia="宋体" w:cs="Times New Roman"/>
                <w:color w:val="auto"/>
                <w:kern w:val="0"/>
                <w:sz w:val="18"/>
                <w:szCs w:val="18"/>
                <w:lang w:val="zh-CN"/>
              </w:rPr>
              <w:t>病理性</w:t>
            </w:r>
            <w:r>
              <w:rPr>
                <w:rFonts w:ascii="Times New Roman" w:hAnsi="Times New Roman" w:eastAsia="宋体" w:cs="Times New Roman"/>
                <w:color w:val="auto"/>
                <w:kern w:val="0"/>
                <w:sz w:val="18"/>
                <w:szCs w:val="18"/>
                <w:vertAlign w:val="superscript"/>
                <w:lang w:val="zh-CN"/>
              </w:rPr>
              <w:t>*</w:t>
            </w:r>
            <w:r>
              <w:rPr>
                <w:rFonts w:hint="eastAsia" w:ascii="Times New Roman" w:hAnsi="Times New Roman" w:eastAsia="宋体" w:cs="Times New Roman"/>
                <w:color w:val="auto"/>
                <w:kern w:val="0"/>
                <w:sz w:val="18"/>
                <w:szCs w:val="18"/>
                <w:lang w:val="zh-CN"/>
              </w:rPr>
              <w:t>医疗废物：人体器官和传染性的动物尸体等除外</w:t>
            </w:r>
          </w:p>
        </w:tc>
      </w:tr>
    </w:tbl>
    <w:p>
      <w:pPr>
        <w:pStyle w:val="23"/>
        <w:spacing w:line="336" w:lineRule="auto"/>
        <w:ind w:firstLine="0" w:firstLineChars="0"/>
        <w:rPr>
          <w:rFonts w:ascii="Times New Roman" w:hAnsi="Times New Roman" w:eastAsia="宋体" w:cs="Times New Roman"/>
          <w:color w:val="auto"/>
          <w:kern w:val="0"/>
          <w:szCs w:val="21"/>
          <w:lang w:val="zh-CN"/>
        </w:rPr>
      </w:pPr>
    </w:p>
    <w:p>
      <w:pPr>
        <w:pStyle w:val="23"/>
        <w:spacing w:line="336" w:lineRule="auto"/>
        <w:ind w:firstLine="0" w:firstLineChars="0"/>
        <w:rPr>
          <w:rFonts w:ascii="Times New Roman" w:hAnsi="Times New Roman" w:eastAsia="宋体" w:cs="Times New Roman"/>
          <w:color w:val="auto"/>
          <w:kern w:val="0"/>
          <w:szCs w:val="21"/>
          <w:lang w:val="zh-CN"/>
        </w:rPr>
        <w:sectPr>
          <w:pgSz w:w="16838" w:h="11906" w:orient="landscape"/>
          <w:pgMar w:top="1800" w:right="1440" w:bottom="1800" w:left="1440" w:header="851" w:footer="992" w:gutter="0"/>
          <w:cols w:space="425" w:num="1"/>
          <w:docGrid w:type="lines" w:linePitch="312" w:charSpace="0"/>
        </w:sectPr>
      </w:pPr>
    </w:p>
    <w:p>
      <w:pPr>
        <w:pStyle w:val="3"/>
        <w:rPr>
          <w:rFonts w:cs="Times New Roman"/>
          <w:color w:val="auto"/>
        </w:rPr>
      </w:pPr>
      <w:bookmarkStart w:id="23" w:name="_Toc22133"/>
      <w:r>
        <w:rPr>
          <w:rFonts w:cs="Times New Roman"/>
          <w:color w:val="auto"/>
        </w:rPr>
        <w:t>医疗废物无害化处置技术发展趋势</w:t>
      </w:r>
      <w:bookmarkEnd w:id="23"/>
    </w:p>
    <w:p>
      <w:pPr>
        <w:pStyle w:val="32"/>
        <w:ind w:firstLine="480"/>
        <w:rPr>
          <w:color w:val="auto"/>
          <w:lang w:val="zh-CN"/>
        </w:rPr>
      </w:pPr>
      <w:r>
        <w:rPr>
          <w:color w:val="auto"/>
          <w:lang w:val="zh-CN"/>
        </w:rPr>
        <w:t>医疗废物污染防治和处理处置的首要目标是消除其感染性、保护人体健康，目前</w:t>
      </w:r>
      <w:r>
        <w:rPr>
          <w:rFonts w:hint="eastAsia"/>
          <w:color w:val="auto"/>
          <w:lang w:val="zh-CN"/>
        </w:rPr>
        <w:t>我国</w:t>
      </w:r>
      <w:r>
        <w:rPr>
          <w:color w:val="auto"/>
          <w:lang w:val="zh-CN"/>
        </w:rPr>
        <w:t>医疗废物处置</w:t>
      </w:r>
      <w:r>
        <w:rPr>
          <w:rFonts w:hint="eastAsia"/>
          <w:color w:val="auto"/>
          <w:lang w:val="zh-CN"/>
        </w:rPr>
        <w:t>行业</w:t>
      </w:r>
      <w:r>
        <w:rPr>
          <w:color w:val="auto"/>
          <w:lang w:val="zh-CN"/>
        </w:rPr>
        <w:t>尚存在</w:t>
      </w:r>
      <w:r>
        <w:rPr>
          <w:rFonts w:hint="eastAsia"/>
          <w:color w:val="auto"/>
          <w:lang w:val="zh-CN"/>
        </w:rPr>
        <w:t>技术及设施水平</w:t>
      </w:r>
      <w:r>
        <w:rPr>
          <w:color w:val="auto"/>
          <w:lang w:val="zh-CN"/>
        </w:rPr>
        <w:t>参差不齐、管理措施不完善、处置过程产生二次污染等问题。随着社会进步，新型医疗废物处置技术亦在不断探索、完善、应用之中。医疗废物无害化处置技术发展主要体现为不断实现现有技术升级，</w:t>
      </w:r>
      <w:r>
        <w:rPr>
          <w:rFonts w:hint="eastAsia"/>
          <w:color w:val="auto"/>
          <w:lang w:val="zh-CN"/>
        </w:rPr>
        <w:t>提高集中处置规模能力，</w:t>
      </w:r>
      <w:r>
        <w:rPr>
          <w:color w:val="auto"/>
          <w:lang w:val="zh-CN"/>
        </w:rPr>
        <w:t>降低处置</w:t>
      </w:r>
      <w:r>
        <w:rPr>
          <w:rFonts w:hint="eastAsia"/>
          <w:color w:val="auto"/>
          <w:lang w:val="zh-CN"/>
        </w:rPr>
        <w:t>设施</w:t>
      </w:r>
      <w:r>
        <w:rPr>
          <w:color w:val="auto"/>
          <w:lang w:val="zh-CN"/>
        </w:rPr>
        <w:t>建设及运营成本，提高医疗废物处置安全性和二次污染控制水平，进而提高</w:t>
      </w:r>
      <w:r>
        <w:rPr>
          <w:rFonts w:hint="eastAsia"/>
          <w:color w:val="auto"/>
          <w:lang w:val="zh-CN"/>
        </w:rPr>
        <w:t>并</w:t>
      </w:r>
      <w:r>
        <w:rPr>
          <w:color w:val="auto"/>
          <w:lang w:val="zh-CN"/>
        </w:rPr>
        <w:t>加强医疗废物安全处置能力。</w:t>
      </w:r>
    </w:p>
    <w:p>
      <w:pPr>
        <w:pStyle w:val="32"/>
        <w:ind w:firstLine="480"/>
        <w:rPr>
          <w:color w:val="auto"/>
        </w:rPr>
      </w:pPr>
      <w:r>
        <w:rPr>
          <w:color w:val="auto"/>
          <w:lang w:val="zh-CN"/>
        </w:rPr>
        <w:t>焚烧</w:t>
      </w:r>
      <w:r>
        <w:rPr>
          <w:rFonts w:hint="eastAsia"/>
          <w:color w:val="auto"/>
          <w:lang w:val="zh-CN"/>
        </w:rPr>
        <w:t>和高温蒸汽消毒</w:t>
      </w:r>
      <w:r>
        <w:rPr>
          <w:color w:val="auto"/>
          <w:lang w:val="zh-CN"/>
        </w:rPr>
        <w:t>是目前处置医疗废物的主流技术</w:t>
      </w:r>
      <w:r>
        <w:rPr>
          <w:rFonts w:hint="eastAsia"/>
          <w:color w:val="auto"/>
          <w:lang w:val="zh-CN"/>
        </w:rPr>
        <w:t>。基于</w:t>
      </w:r>
      <w:r>
        <w:rPr>
          <w:color w:val="auto"/>
          <w:lang w:val="zh-CN"/>
        </w:rPr>
        <w:t>2018</w:t>
      </w:r>
      <w:r>
        <w:rPr>
          <w:rFonts w:hint="eastAsia"/>
          <w:color w:val="auto"/>
          <w:lang w:val="zh-CN"/>
        </w:rPr>
        <w:t>年的调查数据，我国规划内医疗废物处置建设项目中，焚烧处置设施数量占设施总数的</w:t>
      </w:r>
      <w:r>
        <w:rPr>
          <w:color w:val="auto"/>
          <w:lang w:val="zh-CN"/>
        </w:rPr>
        <w:t>37%</w:t>
      </w:r>
      <w:r>
        <w:rPr>
          <w:rFonts w:hint="eastAsia"/>
          <w:color w:val="auto"/>
          <w:lang w:val="zh-CN"/>
        </w:rPr>
        <w:t>，而非焚烧处理设施数量占</w:t>
      </w:r>
      <w:r>
        <w:rPr>
          <w:color w:val="auto"/>
          <w:lang w:val="zh-CN"/>
        </w:rPr>
        <w:t>63%</w:t>
      </w:r>
      <w:r>
        <w:rPr>
          <w:rFonts w:hint="eastAsia"/>
          <w:color w:val="auto"/>
          <w:lang w:val="zh-CN"/>
        </w:rPr>
        <w:t>。其中焚烧设施主要以热解焚烧处置设施为主，非焚烧处理设施主要以高温蒸汽处理设施为主。</w:t>
      </w:r>
      <w:r>
        <w:rPr>
          <w:color w:val="auto"/>
          <w:lang w:val="zh-CN"/>
        </w:rPr>
        <w:t>2018</w:t>
      </w:r>
      <w:r>
        <w:rPr>
          <w:rFonts w:hint="eastAsia"/>
          <w:color w:val="auto"/>
          <w:lang w:val="zh-CN"/>
        </w:rPr>
        <w:t>年全国医疗废物经营单位实际处置量为</w:t>
      </w:r>
      <w:r>
        <w:rPr>
          <w:color w:val="auto"/>
          <w:lang w:val="zh-CN"/>
        </w:rPr>
        <w:t>98</w:t>
      </w:r>
      <w:r>
        <w:rPr>
          <w:rFonts w:hint="eastAsia"/>
          <w:color w:val="auto"/>
          <w:lang w:val="zh-CN"/>
        </w:rPr>
        <w:t>万吨，其中，焚烧处置</w:t>
      </w:r>
      <w:r>
        <w:rPr>
          <w:color w:val="auto"/>
          <w:lang w:val="zh-CN"/>
        </w:rPr>
        <w:t>59</w:t>
      </w:r>
      <w:r>
        <w:rPr>
          <w:rFonts w:hint="eastAsia"/>
          <w:color w:val="auto"/>
          <w:lang w:val="zh-CN"/>
        </w:rPr>
        <w:t>万吨，占医废处置总量的</w:t>
      </w:r>
      <w:r>
        <w:rPr>
          <w:color w:val="auto"/>
          <w:lang w:val="zh-CN"/>
        </w:rPr>
        <w:t>60%</w:t>
      </w:r>
      <w:r>
        <w:rPr>
          <w:rFonts w:hint="eastAsia"/>
          <w:color w:val="auto"/>
          <w:lang w:val="zh-CN"/>
        </w:rPr>
        <w:t>；消毒处理</w:t>
      </w:r>
      <w:r>
        <w:rPr>
          <w:color w:val="auto"/>
          <w:lang w:val="zh-CN"/>
        </w:rPr>
        <w:t>39</w:t>
      </w:r>
      <w:r>
        <w:rPr>
          <w:rFonts w:hint="eastAsia"/>
          <w:color w:val="auto"/>
          <w:lang w:val="zh-CN"/>
        </w:rPr>
        <w:t>万吨，占医废处置总量的</w:t>
      </w:r>
      <w:r>
        <w:rPr>
          <w:color w:val="auto"/>
          <w:lang w:val="zh-CN"/>
        </w:rPr>
        <w:t>40%</w:t>
      </w:r>
      <w:r>
        <w:rPr>
          <w:rFonts w:hint="eastAsia"/>
          <w:color w:val="auto"/>
          <w:lang w:val="zh-CN"/>
        </w:rPr>
        <w:t>。</w:t>
      </w:r>
    </w:p>
    <w:p>
      <w:pPr>
        <w:pStyle w:val="32"/>
        <w:ind w:firstLine="480"/>
        <w:rPr>
          <w:color w:val="auto"/>
          <w:lang w:val="zh-CN"/>
        </w:rPr>
      </w:pPr>
      <w:r>
        <w:rPr>
          <w:rFonts w:hint="eastAsia"/>
          <w:color w:val="auto"/>
          <w:lang w:val="zh-CN"/>
        </w:rPr>
        <w:t>针对焚烧处置技术，</w:t>
      </w:r>
      <w:r>
        <w:rPr>
          <w:color w:val="auto"/>
          <w:lang w:val="zh-CN"/>
        </w:rPr>
        <w:t>现阶段国内生产的危险废物/医疗废物焚烧设备</w:t>
      </w:r>
      <w:r>
        <w:rPr>
          <w:rFonts w:hint="eastAsia"/>
          <w:color w:val="auto"/>
          <w:lang w:val="zh-CN"/>
        </w:rPr>
        <w:t>虽已具备一定基础，</w:t>
      </w:r>
      <w:r>
        <w:rPr>
          <w:color w:val="auto"/>
          <w:lang w:val="zh-CN"/>
        </w:rPr>
        <w:t>但从整体上看，</w:t>
      </w:r>
      <w:r>
        <w:rPr>
          <w:rFonts w:hint="eastAsia"/>
          <w:color w:val="auto"/>
          <w:lang w:val="zh-CN"/>
        </w:rPr>
        <w:t>早期的</w:t>
      </w:r>
      <w:r>
        <w:rPr>
          <w:color w:val="auto"/>
          <w:lang w:val="zh-CN"/>
        </w:rPr>
        <w:t>大多数产品技术水平低、设备配置不完善，</w:t>
      </w:r>
      <w:r>
        <w:rPr>
          <w:rFonts w:hint="eastAsia"/>
          <w:color w:val="auto"/>
          <w:lang w:val="zh-CN"/>
        </w:rPr>
        <w:t>二次污染严重，几乎无法沿用；非典时期匆忙新建的医废焚烧炉，大多设备的性能及配置与目前新的标准有较大差异，有待评估完善方能继续使用；国家政策法规的日趋完善标志着我国危险废物</w:t>
      </w:r>
      <w:r>
        <w:rPr>
          <w:color w:val="auto"/>
          <w:lang w:val="zh-CN"/>
        </w:rPr>
        <w:t>/</w:t>
      </w:r>
      <w:r>
        <w:rPr>
          <w:rFonts w:hint="eastAsia"/>
          <w:color w:val="auto"/>
          <w:lang w:val="zh-CN"/>
        </w:rPr>
        <w:t>医疗废物的焚烧处置设施及技术水平得到极大的发展与提高，同时很多新兴的医疗废物处置技术经多年开发及应用，如等离子体处置技术因其二噁英类有毒有害物质的排放更低、产出熔融固化体减容减量化程度高、副产蒸汽可资源化利用而逐渐被更多的人关注。</w:t>
      </w:r>
    </w:p>
    <w:p>
      <w:pPr>
        <w:pStyle w:val="32"/>
        <w:ind w:firstLine="480"/>
        <w:rPr>
          <w:color w:val="auto"/>
          <w:lang w:val="zh-CN"/>
        </w:rPr>
      </w:pPr>
      <w:r>
        <w:rPr>
          <w:rFonts w:hint="eastAsia"/>
          <w:color w:val="auto"/>
          <w:lang w:val="zh-CN"/>
        </w:rPr>
        <w:t>针对高温蒸汽消毒技术，现有工艺及设备制造、运行管理等方面均达到较高水平，但仍存在二次处置和效果检测有效性问题。随着土地资源的紧缺，填埋的处置方式必将逐步淘汰，最终又归于焚烧。同时，消毒技术的关键在于灭菌，而目前我国针对医疗废物消毒技术处理后的效果检测方面存在一定欠缺，急需完善。</w:t>
      </w:r>
    </w:p>
    <w:p>
      <w:pPr>
        <w:pStyle w:val="32"/>
        <w:ind w:firstLine="480"/>
        <w:rPr>
          <w:color w:val="auto"/>
        </w:rPr>
      </w:pPr>
      <w:r>
        <w:rPr>
          <w:color w:val="auto"/>
        </w:rPr>
        <w:t>目前我国大多数在运行的处置设施主要是在2005-2011年集中建成投产，多数产能不足、工艺落后，大部分城市医疗废物处置能力仅满足日常处置需求，应对突发疫情能力差，县级地区集中处置能力和收运能力严重不足。疫情下医疗废物处置设施的负荷成倍增加，对现有医废处置单位造成较大压力，很多危险废物处置设施及生垃圾焚烧设施作为应急或备用处置设施纳入整体处置能力统计，然而这类应急处置设施不具备长期的医疗废物处置能力，且在一定程度上影响其原有的正常生产。</w:t>
      </w:r>
      <w:r>
        <w:rPr>
          <w:rFonts w:hint="eastAsia"/>
          <w:color w:val="auto"/>
        </w:rPr>
        <w:t>面对</w:t>
      </w:r>
      <w:r>
        <w:rPr>
          <w:color w:val="auto"/>
        </w:rPr>
        <w:t>此轮疫情可能趋于常态化发展，</w:t>
      </w:r>
      <w:r>
        <w:rPr>
          <w:rFonts w:hint="eastAsia"/>
          <w:color w:val="auto"/>
        </w:rPr>
        <w:t>现役医废处置设施超负荷运行以及危险废物、生活垃圾焚烧处置设施的协同措施非长久之计，医疗废物处理处置行业的技术升级、产能扩大为必然趋势。</w:t>
      </w:r>
      <w:r>
        <w:rPr>
          <w:rFonts w:hint="eastAsia"/>
          <w:color w:val="auto"/>
          <w:lang w:val="zh-CN"/>
        </w:rPr>
        <w:t>先进的医疗废物处置技术必将得到进一步的发展和应用，我国医疗废物处置行业的技术水平和规范化管理都将迈入新的阶段。</w:t>
      </w:r>
    </w:p>
    <w:p>
      <w:pPr>
        <w:pStyle w:val="3"/>
        <w:rPr>
          <w:rFonts w:cs="Times New Roman"/>
          <w:color w:val="auto"/>
        </w:rPr>
      </w:pPr>
      <w:bookmarkStart w:id="24" w:name="_Toc14641"/>
      <w:r>
        <w:rPr>
          <w:rFonts w:cs="Times New Roman"/>
          <w:color w:val="auto"/>
        </w:rPr>
        <w:t>医疗废物等离子体处置技术</w:t>
      </w:r>
      <w:bookmarkEnd w:id="24"/>
    </w:p>
    <w:p>
      <w:pPr>
        <w:pStyle w:val="4"/>
        <w:rPr>
          <w:color w:val="auto"/>
          <w:lang w:val="zh-CN"/>
        </w:rPr>
      </w:pPr>
      <w:bookmarkStart w:id="25" w:name="_Toc15379"/>
      <w:r>
        <w:rPr>
          <w:rFonts w:hint="eastAsia"/>
          <w:color w:val="auto"/>
          <w:lang w:val="zh-CN"/>
        </w:rPr>
        <w:t>等离子体处置技术</w:t>
      </w:r>
      <w:bookmarkEnd w:id="25"/>
    </w:p>
    <w:p>
      <w:pPr>
        <w:widowControl/>
        <w:spacing w:line="360" w:lineRule="auto"/>
        <w:ind w:firstLine="480" w:firstLineChars="200"/>
        <w:jc w:val="left"/>
        <w:rPr>
          <w:rFonts w:ascii="宋体" w:hAnsi="宋体" w:eastAsia="宋体" w:cs="宋体"/>
          <w:color w:val="auto"/>
          <w:kern w:val="0"/>
          <w:sz w:val="24"/>
        </w:rPr>
      </w:pPr>
      <w:r>
        <w:rPr>
          <w:rFonts w:hint="eastAsia" w:ascii="宋体" w:hAnsi="宋体" w:eastAsia="宋体" w:cs="宋体"/>
          <w:color w:val="auto"/>
          <w:kern w:val="0"/>
          <w:sz w:val="24"/>
        </w:rPr>
        <w:t>等离子体是物质存在的第四种状态，是由电子、离子、原子、分子或自由基等粒子组成的集合体，具有宏观尺度内的电中性与高导电性。等离子体中的离子、电子、激发态原子、分子及自由基都是极活泼的反应性物种，使通常条件下难以进行或速度很慢的反应变得十分快速，尤其有利于难消解污染物的处理。</w:t>
      </w:r>
    </w:p>
    <w:p>
      <w:pPr>
        <w:widowControl/>
        <w:spacing w:line="360" w:lineRule="auto"/>
        <w:ind w:firstLine="480" w:firstLineChars="200"/>
        <w:jc w:val="left"/>
        <w:rPr>
          <w:rFonts w:ascii="宋体" w:hAnsi="宋体" w:eastAsia="宋体" w:cs="宋体"/>
          <w:color w:val="auto"/>
          <w:kern w:val="0"/>
          <w:sz w:val="24"/>
        </w:rPr>
      </w:pPr>
      <w:r>
        <w:rPr>
          <w:rFonts w:hint="eastAsia" w:ascii="宋体" w:hAnsi="宋体" w:eastAsia="宋体" w:cs="宋体"/>
          <w:color w:val="auto"/>
          <w:kern w:val="0"/>
          <w:sz w:val="24"/>
        </w:rPr>
        <w:t>等离子体可分为两大类，热平衡等离子体(或热等离子体)与非热平衡等离子体(或冷等离子体)。冷等离子体包括辉光放电、低压射频放电、电晕放电等,日常用的荧光灯、半导体工业中所用到的刻蚀技术等都属于此类。冷等离子体的特征是它的能量密度较低，重粒子温度接近室温而电子温度却很高，电子与离子有很高的反应活性。相对的，热等离子体的能量密度很高，重粒子温度与电子温度相近，通常为10000K至20000K的数量级，各种粒子的反应活性都很高。热等离子体的产生方法包括大气压下电极间的交流(AC)与直流(DC)放电、常压电感耦合等离子体、常压微波放电等。冷等离子体技术在工业生产与日常生活中已得到极为广泛的应用，如霓虹灯、半导体刻蚀、真空镀膜、纺织品表面改性、非晶新材料的生产等。而热等离子体技术的应用更为广泛，磁流体发电、核聚变技术、等离子体切割、焊接，耐热耐磨表面喷涂、特种冶金、新材料合成、颗粒球化、超细粉末生产等都应用了热等离子体技术。随着等离子体技术的日益广泛的应用，其技术也日益成熟，应用的领域也越来越多。等离子体技术被认为是环境污染物处理领域中最有广适性、最有发展前途的技术之一。</w:t>
      </w:r>
    </w:p>
    <w:p>
      <w:pPr>
        <w:widowControl/>
        <w:spacing w:line="360" w:lineRule="auto"/>
        <w:ind w:firstLine="480" w:firstLineChars="200"/>
        <w:jc w:val="left"/>
        <w:rPr>
          <w:rFonts w:ascii="宋体" w:hAnsi="宋体" w:eastAsia="宋体" w:cs="宋体"/>
          <w:color w:val="auto"/>
          <w:kern w:val="0"/>
          <w:sz w:val="24"/>
        </w:rPr>
      </w:pPr>
      <w:r>
        <w:rPr>
          <w:rFonts w:hint="eastAsia" w:ascii="宋体" w:hAnsi="宋体" w:eastAsia="宋体" w:cs="宋体"/>
          <w:color w:val="auto"/>
          <w:kern w:val="0"/>
          <w:sz w:val="24"/>
        </w:rPr>
        <w:t>等离子体电弧放电是一种高温、高功率的放电现象，最明显的例子是闪电。当对介电气体或其他流体（绝缘体）施加电压，电压产生的电场会把负电荷拉向阳极，而把正电荷拉向阴极。当电压不断增加，电极化会对材料施加应力，直到超过其介电极限。这时发生电击穿现象，释放电弧，使绝缘材料电离，变为等离子体。初始电离所释放的电子，在每次撞击中性原子时，都会再释放一颗电子，如此类推，迅速产生一连串的连锁电离反应。当电流密度及物质的电离度达到一定的程度，两个电极之间就会形成发光的电弧。这是一种空间上连续的放电现象。电弧的连续轨迹上的电阻会产生热量，进而分解更多的气体分子，使更多的原子电离（电离度取决于温度），气体如此逐渐变为热等离子体。热等离子体处于热平衡，也就是说，电子和质量大的粒子（原子、分子和离子）温度相近。这是因为在热等离子体形成的时候，电子所接收的电能会因电子数量庞大及流动性强而迅速分散，再通过弹性碰撞（即不丧失任何能量）传递给大质量粒子。</w:t>
      </w:r>
    </w:p>
    <w:p>
      <w:pPr>
        <w:widowControl/>
        <w:spacing w:line="360" w:lineRule="auto"/>
        <w:ind w:firstLine="480" w:firstLineChars="200"/>
        <w:jc w:val="left"/>
        <w:rPr>
          <w:rFonts w:ascii="宋体" w:hAnsi="宋体" w:eastAsia="宋体" w:cs="宋体"/>
          <w:color w:val="auto"/>
          <w:kern w:val="0"/>
          <w:sz w:val="24"/>
        </w:rPr>
      </w:pPr>
      <w:r>
        <w:rPr>
          <w:rFonts w:hint="eastAsia" w:ascii="宋体" w:hAnsi="宋体" w:eastAsia="宋体" w:cs="宋体"/>
          <w:color w:val="auto"/>
          <w:kern w:val="0"/>
          <w:sz w:val="24"/>
        </w:rPr>
        <w:t>等离子体发生器主要有三种类型：(1)转移弧；(2)非转移弧；(3)电感耦合等离子体。在转移弧等离子系统中，待处理污染物作为电弧的一个电极，因此必须是可导电物质或在熔融状态下是可导电的，转移弧等离子体的能量利用效率较高，但受处理物料的限制。非转移弧等离子体炬中等离子体在炬体内的电极间发生（正极、负极），由空气/氮气/氩气/水蒸气等工作气体吹出形成一火炬，作用于待处理污染物。如等离子体重整使用的是非转移弧等离子体炬，通过正极、负极金属电极放电产生等离子体，用于合成气重整。</w:t>
      </w:r>
    </w:p>
    <w:p>
      <w:pPr>
        <w:widowControl/>
        <w:spacing w:line="360" w:lineRule="auto"/>
        <w:ind w:firstLine="480" w:firstLineChars="200"/>
        <w:jc w:val="center"/>
        <w:rPr>
          <w:rFonts w:ascii="宋体" w:hAnsi="宋体" w:eastAsia="宋体" w:cs="宋体"/>
          <w:color w:val="auto"/>
          <w:kern w:val="0"/>
          <w:sz w:val="24"/>
        </w:rPr>
      </w:pPr>
      <w:r>
        <w:rPr>
          <w:rFonts w:ascii="宋体" w:hAnsi="宋体" w:eastAsia="宋体" w:cs="宋体"/>
          <w:color w:val="auto"/>
          <w:kern w:val="0"/>
          <w:sz w:val="24"/>
        </w:rPr>
        <w:drawing>
          <wp:inline distT="0" distB="0" distL="0" distR="0">
            <wp:extent cx="2544445" cy="1858010"/>
            <wp:effectExtent l="0" t="0" r="825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563733" cy="1872252"/>
                    </a:xfrm>
                    <a:prstGeom prst="rect">
                      <a:avLst/>
                    </a:prstGeom>
                    <a:noFill/>
                    <a:ln>
                      <a:noFill/>
                    </a:ln>
                  </pic:spPr>
                </pic:pic>
              </a:graphicData>
            </a:graphic>
          </wp:inline>
        </w:drawing>
      </w:r>
    </w:p>
    <w:p>
      <w:pPr>
        <w:pStyle w:val="23"/>
        <w:numPr>
          <w:ilvl w:val="0"/>
          <w:numId w:val="7"/>
        </w:numPr>
        <w:spacing w:line="336" w:lineRule="auto"/>
        <w:ind w:firstLineChars="0"/>
        <w:jc w:val="center"/>
        <w:rPr>
          <w:rFonts w:ascii="Times New Roman" w:hAnsi="Times New Roman" w:eastAsia="宋体" w:cs="Times New Roman"/>
          <w:b/>
          <w:color w:val="auto"/>
          <w:kern w:val="0"/>
          <w:szCs w:val="21"/>
        </w:rPr>
      </w:pPr>
      <w:r>
        <w:rPr>
          <w:rFonts w:hint="eastAsia" w:ascii="Times New Roman" w:hAnsi="Times New Roman" w:eastAsia="宋体" w:cs="Times New Roman"/>
          <w:b/>
          <w:color w:val="auto"/>
          <w:kern w:val="0"/>
          <w:szCs w:val="21"/>
        </w:rPr>
        <w:t>等离子体发生器主要形式</w:t>
      </w:r>
    </w:p>
    <w:p>
      <w:pPr>
        <w:pStyle w:val="4"/>
        <w:rPr>
          <w:rFonts w:hint="eastAsia"/>
          <w:color w:val="auto"/>
          <w:lang w:val="zh-CN"/>
        </w:rPr>
      </w:pPr>
      <w:bookmarkStart w:id="26" w:name="_Toc25367"/>
      <w:r>
        <w:rPr>
          <w:rFonts w:hint="eastAsia"/>
          <w:color w:val="auto"/>
          <w:lang w:val="zh-CN"/>
        </w:rPr>
        <w:t>医疗废物等离子体处置的发展</w:t>
      </w:r>
      <w:bookmarkEnd w:id="26"/>
    </w:p>
    <w:p>
      <w:pPr>
        <w:pStyle w:val="32"/>
        <w:ind w:firstLine="480"/>
        <w:rPr>
          <w:color w:val="auto"/>
        </w:rPr>
      </w:pPr>
      <w:r>
        <w:rPr>
          <w:color w:val="auto"/>
        </w:rPr>
        <w:t>等离子体技术处理固体废弃物始于20世纪60年代初期，最初主要用于</w:t>
      </w:r>
      <w:r>
        <w:rPr>
          <w:rFonts w:hint="eastAsia"/>
          <w:color w:val="auto"/>
        </w:rPr>
        <w:t>销毁</w:t>
      </w:r>
      <w:r>
        <w:rPr>
          <w:color w:val="auto"/>
        </w:rPr>
        <w:t>低放射性废弃物、化学武器和常规武器，20世纪90年代才开始步入民用阶段。由于等离子体设备技术含量高、投资巨大、运行成本高和能耗多，所以，起初只用于处理一些危险废弃物，如多氯联苯（PCBs）、废农药及医疗废物等。近10年来，随着该项技术的发展，成本逐渐得到控制，随着政府对环境保护的高度重视和公众环保意识的不断提高，采用等离子体技术处理固体废弃物逐渐成为国内外研究的热点。</w:t>
      </w:r>
    </w:p>
    <w:p>
      <w:pPr>
        <w:pStyle w:val="32"/>
        <w:ind w:firstLine="480"/>
        <w:rPr>
          <w:color w:val="auto"/>
          <w:lang w:val="zh-CN"/>
        </w:rPr>
      </w:pPr>
      <w:r>
        <w:rPr>
          <w:color w:val="auto"/>
          <w:lang w:val="zh-CN"/>
        </w:rPr>
        <w:t>由于等离子体技术在处理过程中极高的温度，原则上</w:t>
      </w:r>
      <w:r>
        <w:rPr>
          <w:rFonts w:hint="eastAsia"/>
          <w:color w:val="auto"/>
          <w:lang w:val="zh-CN"/>
        </w:rPr>
        <w:t>处理范围相当之广</w:t>
      </w:r>
      <w:r>
        <w:rPr>
          <w:color w:val="auto"/>
          <w:lang w:val="zh-CN"/>
        </w:rPr>
        <w:t>，</w:t>
      </w:r>
      <w:r>
        <w:rPr>
          <w:rFonts w:hint="eastAsia"/>
          <w:color w:val="auto"/>
          <w:lang w:val="zh-CN"/>
        </w:rPr>
        <w:t>适用于处置所有</w:t>
      </w:r>
      <w:r>
        <w:rPr>
          <w:color w:val="auto"/>
          <w:lang w:val="zh-CN"/>
        </w:rPr>
        <w:t>5</w:t>
      </w:r>
      <w:r>
        <w:rPr>
          <w:rFonts w:hint="eastAsia"/>
          <w:color w:val="auto"/>
          <w:lang w:val="zh-CN"/>
        </w:rPr>
        <w:t>种</w:t>
      </w:r>
      <w:r>
        <w:rPr>
          <w:color w:val="auto"/>
          <w:lang w:val="zh-CN"/>
        </w:rPr>
        <w:t>类型的医疗废物（HW01）、疫情等特殊情况下带有传染性的生活垃圾、医疗卫生机构污水处置产生的污泥，以及其它具有感染性的废物等。</w:t>
      </w:r>
      <w:r>
        <w:rPr>
          <w:rFonts w:hint="eastAsia"/>
          <w:color w:val="auto"/>
          <w:lang w:val="zh-CN"/>
        </w:rPr>
        <w:t>等离子体处置医疗废物的过程，是利用等离子体加热固体废物，将医疗废物中有机物热解、气化、焚烧，实现医疗废物无害化、减量化的过程，包括等离子体焚烧、等离子体气化</w:t>
      </w:r>
      <w:r>
        <w:rPr>
          <w:color w:val="auto"/>
          <w:lang w:val="zh-CN"/>
        </w:rPr>
        <w:t>/气化熔融、等离子体重整等。从技术的角度来说，等离子</w:t>
      </w:r>
      <w:r>
        <w:rPr>
          <w:rFonts w:hint="eastAsia"/>
          <w:color w:val="auto"/>
          <w:lang w:val="zh-CN"/>
        </w:rPr>
        <w:t>体</w:t>
      </w:r>
      <w:r>
        <w:rPr>
          <w:color w:val="auto"/>
          <w:lang w:val="zh-CN"/>
        </w:rPr>
        <w:t xml:space="preserve">系统可以处理和焚化炉同等类型的废物，同时在污染物排放控制方面有着极大的优势。2012年原国家环保部发布《医疗废物处理处置污染防治最佳可行技术指南（试行）》（HJ-BAT-8），指明等离子体技术 </w:t>
      </w:r>
      <w:r>
        <w:rPr>
          <w:rFonts w:hint="eastAsia"/>
          <w:color w:val="auto"/>
          <w:lang w:val="zh-CN"/>
        </w:rPr>
        <w:t>“</w:t>
      </w:r>
      <w:r>
        <w:rPr>
          <w:color w:val="auto"/>
          <w:lang w:val="zh-CN"/>
        </w:rPr>
        <w:t>具有减容率高、适用范围广、处置效率高、有害物质产生少等特点</w:t>
      </w:r>
      <w:r>
        <w:rPr>
          <w:rFonts w:hint="eastAsia"/>
          <w:color w:val="auto"/>
          <w:lang w:val="zh-CN"/>
        </w:rPr>
        <w:t>”</w:t>
      </w:r>
      <w:r>
        <w:rPr>
          <w:color w:val="auto"/>
          <w:lang w:val="zh-CN"/>
        </w:rPr>
        <w:t>。2014年医疗废物等离子体无害化处理装备被列入《国家鼓励发展的重大环保技术装备目录》（开发类</w:t>
      </w:r>
      <w:r>
        <w:rPr>
          <w:rFonts w:hint="eastAsia"/>
          <w:color w:val="auto"/>
          <w:lang w:val="zh-CN"/>
        </w:rPr>
        <w:t>，第</w:t>
      </w:r>
      <w:r>
        <w:rPr>
          <w:color w:val="auto"/>
          <w:lang w:val="zh-CN"/>
        </w:rPr>
        <w:t>9</w:t>
      </w:r>
      <w:r>
        <w:rPr>
          <w:rFonts w:hint="eastAsia"/>
          <w:color w:val="auto"/>
          <w:lang w:val="zh-CN"/>
        </w:rPr>
        <w:t>项</w:t>
      </w:r>
      <w:r>
        <w:rPr>
          <w:color w:val="auto"/>
          <w:lang w:val="zh-CN"/>
        </w:rPr>
        <w:t>）。</w:t>
      </w:r>
    </w:p>
    <w:p>
      <w:pPr>
        <w:pStyle w:val="23"/>
        <w:numPr>
          <w:ilvl w:val="0"/>
          <w:numId w:val="8"/>
        </w:numPr>
        <w:spacing w:line="360" w:lineRule="auto"/>
        <w:ind w:firstLineChars="0"/>
        <w:jc w:val="center"/>
        <w:rPr>
          <w:rFonts w:ascii="Times New Roman" w:hAnsi="Times New Roman" w:eastAsia="宋体" w:cs="Times New Roman"/>
          <w:b/>
          <w:color w:val="auto"/>
          <w:szCs w:val="21"/>
        </w:rPr>
      </w:pPr>
      <w:r>
        <w:rPr>
          <w:rFonts w:hint="eastAsia" w:ascii="Times New Roman" w:hAnsi="Times New Roman" w:eastAsia="宋体" w:cs="Times New Roman"/>
          <w:b/>
          <w:color w:val="auto"/>
          <w:szCs w:val="21"/>
        </w:rPr>
        <w:t>《国家鼓励发展的重大环保技术装备目录》（</w:t>
      </w:r>
      <w:r>
        <w:rPr>
          <w:rFonts w:ascii="Times New Roman" w:hAnsi="Times New Roman" w:eastAsia="宋体" w:cs="Times New Roman"/>
          <w:b/>
          <w:color w:val="auto"/>
          <w:szCs w:val="21"/>
        </w:rPr>
        <w:t>2014</w:t>
      </w:r>
      <w:r>
        <w:rPr>
          <w:rFonts w:hint="eastAsia" w:ascii="Times New Roman" w:hAnsi="Times New Roman" w:eastAsia="宋体" w:cs="Times New Roman"/>
          <w:b/>
          <w:color w:val="auto"/>
          <w:szCs w:val="21"/>
        </w:rPr>
        <w:t>年版）（开发类）</w:t>
      </w:r>
    </w:p>
    <w:p>
      <w:pPr>
        <w:spacing w:line="336" w:lineRule="auto"/>
        <w:rPr>
          <w:rFonts w:ascii="Times New Roman" w:hAnsi="Times New Roman" w:eastAsia="宋体" w:cs="Times New Roman"/>
          <w:color w:val="auto"/>
          <w:kern w:val="0"/>
          <w:szCs w:val="21"/>
          <w:lang w:val="zh-CN"/>
        </w:rPr>
      </w:pPr>
      <w:r>
        <w:rPr>
          <w:rFonts w:ascii="Times New Roman" w:hAnsi="Times New Roman" w:cs="Times New Roman"/>
          <w:color w:val="auto"/>
        </w:rPr>
        <w:drawing>
          <wp:inline distT="0" distB="0" distL="0" distR="0">
            <wp:extent cx="5267325" cy="192595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2"/>
                    <a:stretch>
                      <a:fillRect/>
                    </a:stretch>
                  </pic:blipFill>
                  <pic:spPr>
                    <a:xfrm>
                      <a:off x="0" y="0"/>
                      <a:ext cx="5293255" cy="1936060"/>
                    </a:xfrm>
                    <a:prstGeom prst="rect">
                      <a:avLst/>
                    </a:prstGeom>
                  </pic:spPr>
                </pic:pic>
              </a:graphicData>
            </a:graphic>
          </wp:inline>
        </w:drawing>
      </w:r>
    </w:p>
    <w:p>
      <w:pPr>
        <w:pStyle w:val="4"/>
        <w:rPr>
          <w:rFonts w:hint="eastAsia"/>
          <w:color w:val="auto"/>
          <w:lang w:val="zh-CN"/>
        </w:rPr>
      </w:pPr>
      <w:bookmarkStart w:id="27" w:name="_Toc3135"/>
      <w:r>
        <w:rPr>
          <w:rFonts w:hint="eastAsia"/>
          <w:color w:val="auto"/>
          <w:lang w:val="zh-CN"/>
        </w:rPr>
        <w:t>医疗废物等离子体处置的应用</w:t>
      </w:r>
      <w:bookmarkEnd w:id="27"/>
    </w:p>
    <w:p>
      <w:pPr>
        <w:pStyle w:val="32"/>
        <w:ind w:firstLine="480"/>
        <w:rPr>
          <w:color w:val="auto"/>
        </w:rPr>
      </w:pPr>
      <w:r>
        <w:rPr>
          <w:color w:val="auto"/>
        </w:rPr>
        <w:t>随着社会公众环保意识的提升，以及我国环保法规越来越严格，危险废物无害化资源化处置迫切需要采用更先进、更环保的等离子体技术。目前等离子体气化处置技术主要掌握在发达国家手中，国内多家科研机构及单位从事该方向研究并展开项目应用。</w:t>
      </w:r>
    </w:p>
    <w:p>
      <w:pPr>
        <w:pStyle w:val="32"/>
        <w:ind w:firstLine="480"/>
        <w:rPr>
          <w:color w:val="auto"/>
        </w:rPr>
      </w:pPr>
      <w:r>
        <w:rPr>
          <w:color w:val="auto"/>
        </w:rPr>
        <w:t>等离子体处理技术发展较成熟的国家有美国、加拿大、法国、英国、瑞士、日本及以色列等，其中美国洛克希德公司旗下的Retech公司、西屋环境公司（已被加拿大Alter NRG公司收购；武汉凯迪收购Alter NRG）、GGI能源公司、德国Bellwether公司、加拿大Plasco公司、英国Tetronics公司、美国航天公司（Aerospatial Espace &amp; Defence）以及以色列EER公司等的等离子体处理技术，均已达到商业化运转的水平。许多发达国家利用等离子技术</w:t>
      </w:r>
      <w:r>
        <w:rPr>
          <w:rFonts w:hint="eastAsia"/>
          <w:color w:val="auto"/>
        </w:rPr>
        <w:t>处置</w:t>
      </w:r>
      <w:r>
        <w:rPr>
          <w:color w:val="auto"/>
        </w:rPr>
        <w:t>各种危险废物，包括含氟有机废液、感染性医疗废物、城市危险废物焚烧飞灰、污泥、石棉工业废弃物、船舰废弃物、化学及重金属污染土壤</w:t>
      </w:r>
      <w:r>
        <w:rPr>
          <w:rFonts w:hint="eastAsia"/>
          <w:color w:val="auto"/>
        </w:rPr>
        <w:t>、放射性废物</w:t>
      </w:r>
      <w:r>
        <w:rPr>
          <w:color w:val="auto"/>
        </w:rPr>
        <w:t>等，并已实现工业应用。</w:t>
      </w:r>
    </w:p>
    <w:p>
      <w:pPr>
        <w:pStyle w:val="32"/>
        <w:ind w:firstLine="480"/>
        <w:rPr>
          <w:color w:val="auto"/>
        </w:rPr>
      </w:pPr>
      <w:r>
        <w:rPr>
          <w:color w:val="auto"/>
        </w:rPr>
        <w:t>我国中科院、清华大学、浙江大学等一些研究单位和学校相继进行了等离子体毒害物处理技术的机理分析和试验研究，近5年来，国内相继出现相对成熟的等离子</w:t>
      </w:r>
      <w:r>
        <w:rPr>
          <w:rFonts w:hint="eastAsia"/>
          <w:color w:val="auto"/>
        </w:rPr>
        <w:t>体</w:t>
      </w:r>
      <w:r>
        <w:rPr>
          <w:color w:val="auto"/>
        </w:rPr>
        <w:t>气化</w:t>
      </w:r>
      <w:r>
        <w:rPr>
          <w:rFonts w:hint="eastAsia"/>
          <w:color w:val="auto"/>
        </w:rPr>
        <w:t>处置固废试验</w:t>
      </w:r>
      <w:r>
        <w:rPr>
          <w:color w:val="auto"/>
        </w:rPr>
        <w:t>项目，市场需求逐渐加剧，竞争苗头开始显现。而等离子体技术处理危险废物的工程化应用在国内起步较晚，其处理规模相对较小。</w:t>
      </w:r>
    </w:p>
    <w:p>
      <w:pPr>
        <w:pStyle w:val="23"/>
        <w:numPr>
          <w:ilvl w:val="0"/>
          <w:numId w:val="8"/>
        </w:numPr>
        <w:spacing w:line="360" w:lineRule="auto"/>
        <w:ind w:firstLineChars="0"/>
        <w:jc w:val="center"/>
        <w:rPr>
          <w:rFonts w:ascii="Times New Roman" w:hAnsi="Times New Roman" w:eastAsia="宋体" w:cs="Times New Roman"/>
          <w:b/>
          <w:color w:val="auto"/>
          <w:szCs w:val="21"/>
        </w:rPr>
      </w:pPr>
      <w:r>
        <w:rPr>
          <w:rFonts w:ascii="Times New Roman" w:hAnsi="Times New Roman" w:eastAsia="宋体" w:cs="Times New Roman"/>
          <w:b/>
          <w:color w:val="auto"/>
          <w:szCs w:val="21"/>
        </w:rPr>
        <w:t>国际/国内-危险废物/医疗废物等离子体技术项目列表</w:t>
      </w:r>
    </w:p>
    <w:tbl>
      <w:tblPr>
        <w:tblStyle w:val="17"/>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70"/>
        <w:gridCol w:w="1361"/>
        <w:gridCol w:w="951"/>
        <w:gridCol w:w="1995"/>
        <w:gridCol w:w="1739"/>
        <w:gridCol w:w="709"/>
        <w:gridCol w:w="14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eastAsia="宋体" w:cs="Times New Roman"/>
                <w:b/>
                <w:bCs/>
                <w:color w:val="auto"/>
                <w:kern w:val="0"/>
                <w:sz w:val="21"/>
                <w:szCs w:val="21"/>
              </w:rPr>
            </w:pPr>
            <w:r>
              <w:rPr>
                <w:rFonts w:ascii="Times New Roman" w:hAnsi="Times New Roman" w:eastAsia="宋体" w:cs="Times New Roman"/>
                <w:b/>
                <w:bCs/>
                <w:color w:val="auto"/>
                <w:kern w:val="0"/>
                <w:sz w:val="21"/>
                <w:szCs w:val="21"/>
              </w:rPr>
              <w:t>序号</w:t>
            </w:r>
          </w:p>
        </w:tc>
        <w:tc>
          <w:tcPr>
            <w:tcW w:w="1361"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eastAsia="宋体" w:cs="Times New Roman"/>
                <w:b/>
                <w:bCs/>
                <w:color w:val="auto"/>
                <w:kern w:val="0"/>
                <w:sz w:val="21"/>
                <w:szCs w:val="21"/>
              </w:rPr>
            </w:pPr>
            <w:r>
              <w:rPr>
                <w:rFonts w:ascii="Times New Roman" w:hAnsi="Times New Roman" w:eastAsia="宋体" w:cs="Times New Roman"/>
                <w:b/>
                <w:bCs/>
                <w:color w:val="auto"/>
                <w:kern w:val="0"/>
                <w:sz w:val="21"/>
                <w:szCs w:val="21"/>
              </w:rPr>
              <w:t>项目</w:t>
            </w:r>
          </w:p>
        </w:tc>
        <w:tc>
          <w:tcPr>
            <w:tcW w:w="951"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eastAsia="宋体" w:cs="Times New Roman"/>
                <w:b/>
                <w:bCs/>
                <w:color w:val="auto"/>
                <w:kern w:val="0"/>
                <w:sz w:val="21"/>
                <w:szCs w:val="21"/>
              </w:rPr>
            </w:pPr>
            <w:r>
              <w:rPr>
                <w:rFonts w:ascii="Times New Roman" w:hAnsi="Times New Roman" w:eastAsia="宋体" w:cs="Times New Roman"/>
                <w:b/>
                <w:bCs/>
                <w:color w:val="auto"/>
                <w:kern w:val="0"/>
                <w:sz w:val="21"/>
                <w:szCs w:val="21"/>
              </w:rPr>
              <w:t>处理规模</w:t>
            </w:r>
          </w:p>
        </w:tc>
        <w:tc>
          <w:tcPr>
            <w:tcW w:w="1995"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eastAsia="宋体" w:cs="Times New Roman"/>
                <w:b/>
                <w:bCs/>
                <w:color w:val="auto"/>
                <w:kern w:val="0"/>
                <w:sz w:val="21"/>
                <w:szCs w:val="21"/>
              </w:rPr>
            </w:pPr>
            <w:r>
              <w:rPr>
                <w:rFonts w:ascii="Times New Roman" w:hAnsi="Times New Roman" w:eastAsia="宋体" w:cs="Times New Roman"/>
                <w:b/>
                <w:bCs/>
                <w:color w:val="auto"/>
                <w:kern w:val="0"/>
                <w:sz w:val="21"/>
                <w:szCs w:val="21"/>
              </w:rPr>
              <w:t>废物类型</w:t>
            </w:r>
          </w:p>
        </w:tc>
        <w:tc>
          <w:tcPr>
            <w:tcW w:w="1739"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eastAsia="宋体" w:cs="Times New Roman"/>
                <w:b/>
                <w:bCs/>
                <w:color w:val="auto"/>
                <w:kern w:val="0"/>
                <w:sz w:val="21"/>
                <w:szCs w:val="21"/>
              </w:rPr>
            </w:pPr>
            <w:r>
              <w:rPr>
                <w:rFonts w:ascii="Times New Roman" w:hAnsi="Times New Roman" w:eastAsia="宋体" w:cs="Times New Roman"/>
                <w:b/>
                <w:bCs/>
                <w:color w:val="auto"/>
                <w:kern w:val="0"/>
                <w:sz w:val="21"/>
                <w:szCs w:val="21"/>
              </w:rPr>
              <w:t>项目地点</w:t>
            </w:r>
          </w:p>
        </w:tc>
        <w:tc>
          <w:tcPr>
            <w:tcW w:w="709"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eastAsia="宋体" w:cs="Times New Roman"/>
                <w:b/>
                <w:bCs/>
                <w:color w:val="auto"/>
                <w:kern w:val="0"/>
                <w:sz w:val="21"/>
                <w:szCs w:val="21"/>
              </w:rPr>
            </w:pPr>
            <w:r>
              <w:rPr>
                <w:rFonts w:ascii="Times New Roman" w:hAnsi="Times New Roman" w:eastAsia="宋体" w:cs="Times New Roman"/>
                <w:b/>
                <w:bCs/>
                <w:color w:val="auto"/>
                <w:kern w:val="0"/>
                <w:sz w:val="21"/>
                <w:szCs w:val="21"/>
              </w:rPr>
              <w:t>运行日期</w:t>
            </w:r>
          </w:p>
        </w:tc>
        <w:tc>
          <w:tcPr>
            <w:tcW w:w="1417"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eastAsia="宋体" w:cs="Times New Roman"/>
                <w:b/>
                <w:bCs/>
                <w:color w:val="auto"/>
                <w:kern w:val="0"/>
                <w:sz w:val="21"/>
                <w:szCs w:val="21"/>
              </w:rPr>
            </w:pPr>
            <w:r>
              <w:rPr>
                <w:rFonts w:ascii="Times New Roman" w:hAnsi="Times New Roman" w:eastAsia="宋体" w:cs="Times New Roman"/>
                <w:b/>
                <w:bCs/>
                <w:color w:val="auto"/>
                <w:kern w:val="0"/>
                <w:sz w:val="21"/>
                <w:szCs w:val="21"/>
              </w:rPr>
              <w:t>技术来源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0" w:type="dxa"/>
            <w:tcBorders>
              <w:top w:val="single" w:color="auto" w:sz="4" w:space="0"/>
              <w:left w:val="single" w:color="auto" w:sz="4" w:space="0"/>
              <w:bottom w:val="single" w:color="auto" w:sz="4" w:space="0"/>
              <w:right w:val="single" w:color="auto" w:sz="4" w:space="0"/>
            </w:tcBorders>
            <w:vAlign w:val="center"/>
          </w:tcPr>
          <w:p>
            <w:pPr>
              <w:pStyle w:val="23"/>
              <w:numPr>
                <w:ilvl w:val="0"/>
                <w:numId w:val="9"/>
              </w:numPr>
              <w:adjustRightInd w:val="0"/>
              <w:snapToGrid w:val="0"/>
              <w:ind w:firstLineChars="0"/>
              <w:jc w:val="center"/>
              <w:rPr>
                <w:rFonts w:ascii="Times New Roman" w:hAnsi="Times New Roman" w:eastAsia="宋体" w:cs="Times New Roman"/>
                <w:color w:val="auto"/>
                <w:kern w:val="0"/>
                <w:sz w:val="21"/>
                <w:szCs w:val="21"/>
              </w:rPr>
            </w:pPr>
          </w:p>
        </w:tc>
        <w:tc>
          <w:tcPr>
            <w:tcW w:w="1361"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MEPL</w:t>
            </w:r>
          </w:p>
        </w:tc>
        <w:tc>
          <w:tcPr>
            <w:tcW w:w="951"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72TPD</w:t>
            </w:r>
          </w:p>
        </w:tc>
        <w:tc>
          <w:tcPr>
            <w:tcW w:w="1995"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危险废物</w:t>
            </w:r>
          </w:p>
        </w:tc>
        <w:tc>
          <w:tcPr>
            <w:tcW w:w="1739"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印度普恩</w:t>
            </w:r>
          </w:p>
        </w:tc>
        <w:tc>
          <w:tcPr>
            <w:tcW w:w="709"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2009</w:t>
            </w:r>
          </w:p>
        </w:tc>
        <w:tc>
          <w:tcPr>
            <w:tcW w:w="1417" w:type="dxa"/>
            <w:vMerge w:val="restart"/>
            <w:tcBorders>
              <w:top w:val="single" w:color="auto" w:sz="4" w:space="0"/>
              <w:left w:val="single" w:color="auto" w:sz="4" w:space="0"/>
              <w:right w:val="single" w:color="auto" w:sz="4" w:space="0"/>
            </w:tcBorders>
            <w:vAlign w:val="center"/>
          </w:tcPr>
          <w:p>
            <w:pPr>
              <w:widowControl/>
              <w:adjustRightInd w:val="0"/>
              <w:snapToGrid w:val="0"/>
              <w:jc w:val="left"/>
              <w:rPr>
                <w:rFonts w:ascii="Times New Roman" w:hAnsi="Times New Roman" w:eastAsia="宋体" w:cs="Times New Roman"/>
                <w:color w:val="auto"/>
                <w:kern w:val="2"/>
                <w:sz w:val="21"/>
                <w:szCs w:val="21"/>
              </w:rPr>
            </w:pPr>
            <w:r>
              <w:rPr>
                <w:rFonts w:ascii="Times New Roman" w:hAnsi="Times New Roman" w:eastAsia="宋体" w:cs="Times New Roman"/>
                <w:color w:val="auto"/>
                <w:kern w:val="0"/>
                <w:sz w:val="21"/>
                <w:szCs w:val="21"/>
              </w:rPr>
              <w:t>美国Westinghouse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0" w:type="dxa"/>
            <w:tcBorders>
              <w:top w:val="single" w:color="auto" w:sz="4" w:space="0"/>
              <w:left w:val="single" w:color="auto" w:sz="4" w:space="0"/>
              <w:bottom w:val="single" w:color="auto" w:sz="4" w:space="0"/>
              <w:right w:val="single" w:color="auto" w:sz="4" w:space="0"/>
            </w:tcBorders>
            <w:vAlign w:val="center"/>
          </w:tcPr>
          <w:p>
            <w:pPr>
              <w:pStyle w:val="23"/>
              <w:numPr>
                <w:ilvl w:val="0"/>
                <w:numId w:val="9"/>
              </w:numPr>
              <w:adjustRightInd w:val="0"/>
              <w:snapToGrid w:val="0"/>
              <w:ind w:firstLineChars="0"/>
              <w:jc w:val="center"/>
              <w:rPr>
                <w:rFonts w:ascii="Times New Roman" w:hAnsi="Times New Roman" w:eastAsia="宋体" w:cs="Times New Roman"/>
                <w:color w:val="auto"/>
                <w:kern w:val="0"/>
                <w:sz w:val="21"/>
                <w:szCs w:val="21"/>
              </w:rPr>
            </w:pPr>
          </w:p>
        </w:tc>
        <w:tc>
          <w:tcPr>
            <w:tcW w:w="1361"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废物玻璃化项目</w:t>
            </w:r>
          </w:p>
        </w:tc>
        <w:tc>
          <w:tcPr>
            <w:tcW w:w="951"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72TPD</w:t>
            </w:r>
          </w:p>
        </w:tc>
        <w:tc>
          <w:tcPr>
            <w:tcW w:w="1995"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危险废物</w:t>
            </w:r>
          </w:p>
        </w:tc>
        <w:tc>
          <w:tcPr>
            <w:tcW w:w="1739"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印度那格普尔</w:t>
            </w:r>
          </w:p>
        </w:tc>
        <w:tc>
          <w:tcPr>
            <w:tcW w:w="709"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2010</w:t>
            </w:r>
          </w:p>
        </w:tc>
        <w:tc>
          <w:tcPr>
            <w:tcW w:w="1417" w:type="dxa"/>
            <w:vMerge w:val="continue"/>
            <w:tcBorders>
              <w:left w:val="single" w:color="auto" w:sz="4" w:space="0"/>
              <w:right w:val="single" w:color="auto" w:sz="4" w:space="0"/>
            </w:tcBorders>
            <w:vAlign w:val="center"/>
          </w:tcPr>
          <w:p>
            <w:pPr>
              <w:widowControl/>
              <w:adjustRightInd w:val="0"/>
              <w:snapToGrid w:val="0"/>
              <w:jc w:val="left"/>
              <w:rPr>
                <w:rFonts w:ascii="Times New Roman" w:hAnsi="Times New Roman" w:eastAsia="宋体" w:cs="Times New Roman"/>
                <w:color w:val="auto"/>
                <w:kern w:val="2"/>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0" w:type="dxa"/>
            <w:tcBorders>
              <w:top w:val="single" w:color="auto" w:sz="4" w:space="0"/>
              <w:left w:val="single" w:color="auto" w:sz="4" w:space="0"/>
              <w:bottom w:val="single" w:color="auto" w:sz="4" w:space="0"/>
              <w:right w:val="single" w:color="auto" w:sz="4" w:space="0"/>
            </w:tcBorders>
            <w:vAlign w:val="center"/>
          </w:tcPr>
          <w:p>
            <w:pPr>
              <w:pStyle w:val="23"/>
              <w:numPr>
                <w:ilvl w:val="0"/>
                <w:numId w:val="9"/>
              </w:numPr>
              <w:adjustRightInd w:val="0"/>
              <w:snapToGrid w:val="0"/>
              <w:ind w:firstLineChars="0"/>
              <w:jc w:val="center"/>
              <w:rPr>
                <w:rFonts w:ascii="Times New Roman" w:hAnsi="Times New Roman" w:eastAsia="宋体" w:cs="Times New Roman"/>
                <w:color w:val="auto"/>
                <w:kern w:val="0"/>
                <w:sz w:val="21"/>
                <w:szCs w:val="21"/>
              </w:rPr>
            </w:pPr>
          </w:p>
        </w:tc>
        <w:tc>
          <w:tcPr>
            <w:tcW w:w="1361"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固体废物处置中心</w:t>
            </w:r>
          </w:p>
        </w:tc>
        <w:tc>
          <w:tcPr>
            <w:tcW w:w="951"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30TPD</w:t>
            </w:r>
          </w:p>
        </w:tc>
        <w:tc>
          <w:tcPr>
            <w:tcW w:w="1995"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医疗废物</w:t>
            </w:r>
          </w:p>
        </w:tc>
        <w:tc>
          <w:tcPr>
            <w:tcW w:w="1739"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上海</w:t>
            </w:r>
          </w:p>
        </w:tc>
        <w:tc>
          <w:tcPr>
            <w:tcW w:w="709"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2013</w:t>
            </w:r>
          </w:p>
        </w:tc>
        <w:tc>
          <w:tcPr>
            <w:tcW w:w="1417" w:type="dxa"/>
            <w:vMerge w:val="continue"/>
            <w:tcBorders>
              <w:left w:val="single" w:color="auto" w:sz="4" w:space="0"/>
              <w:bottom w:val="single" w:color="auto" w:sz="4" w:space="0"/>
              <w:right w:val="single" w:color="auto" w:sz="4" w:space="0"/>
            </w:tcBorders>
            <w:vAlign w:val="center"/>
          </w:tcPr>
          <w:p>
            <w:pPr>
              <w:widowControl/>
              <w:adjustRightInd w:val="0"/>
              <w:snapToGrid w:val="0"/>
              <w:jc w:val="left"/>
              <w:rPr>
                <w:rFonts w:ascii="Times New Roman" w:hAnsi="Times New Roman" w:eastAsia="宋体" w:cs="Times New Roman"/>
                <w:color w:val="auto"/>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0" w:type="dxa"/>
            <w:tcBorders>
              <w:top w:val="single" w:color="auto" w:sz="4" w:space="0"/>
              <w:left w:val="single" w:color="auto" w:sz="4" w:space="0"/>
              <w:bottom w:val="single" w:color="auto" w:sz="4" w:space="0"/>
              <w:right w:val="single" w:color="auto" w:sz="4" w:space="0"/>
            </w:tcBorders>
            <w:vAlign w:val="center"/>
          </w:tcPr>
          <w:p>
            <w:pPr>
              <w:pStyle w:val="23"/>
              <w:numPr>
                <w:ilvl w:val="0"/>
                <w:numId w:val="9"/>
              </w:numPr>
              <w:adjustRightInd w:val="0"/>
              <w:snapToGrid w:val="0"/>
              <w:ind w:firstLineChars="0"/>
              <w:jc w:val="center"/>
              <w:rPr>
                <w:rFonts w:ascii="Times New Roman" w:hAnsi="Times New Roman" w:eastAsia="宋体" w:cs="Times New Roman"/>
                <w:color w:val="auto"/>
                <w:kern w:val="0"/>
                <w:sz w:val="21"/>
                <w:szCs w:val="21"/>
              </w:rPr>
            </w:pPr>
          </w:p>
        </w:tc>
        <w:tc>
          <w:tcPr>
            <w:tcW w:w="1361"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PEM™系统</w:t>
            </w:r>
          </w:p>
        </w:tc>
        <w:tc>
          <w:tcPr>
            <w:tcW w:w="951"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6TPD</w:t>
            </w:r>
          </w:p>
        </w:tc>
        <w:tc>
          <w:tcPr>
            <w:tcW w:w="1995"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危险废物与放射性废弃物</w:t>
            </w:r>
          </w:p>
        </w:tc>
        <w:tc>
          <w:tcPr>
            <w:tcW w:w="1739"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美国华盛顿州里奇兰</w:t>
            </w:r>
          </w:p>
        </w:tc>
        <w:tc>
          <w:tcPr>
            <w:tcW w:w="709"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1997</w:t>
            </w:r>
          </w:p>
        </w:tc>
        <w:tc>
          <w:tcPr>
            <w:tcW w:w="1417" w:type="dxa"/>
            <w:vMerge w:val="restart"/>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美国InEnTech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0" w:type="dxa"/>
            <w:tcBorders>
              <w:top w:val="single" w:color="auto" w:sz="4" w:space="0"/>
              <w:left w:val="single" w:color="auto" w:sz="4" w:space="0"/>
              <w:bottom w:val="single" w:color="auto" w:sz="4" w:space="0"/>
              <w:right w:val="single" w:color="auto" w:sz="4" w:space="0"/>
            </w:tcBorders>
            <w:vAlign w:val="center"/>
          </w:tcPr>
          <w:p>
            <w:pPr>
              <w:pStyle w:val="23"/>
              <w:numPr>
                <w:ilvl w:val="0"/>
                <w:numId w:val="9"/>
              </w:numPr>
              <w:adjustRightInd w:val="0"/>
              <w:snapToGrid w:val="0"/>
              <w:ind w:firstLineChars="0"/>
              <w:jc w:val="center"/>
              <w:rPr>
                <w:rFonts w:ascii="Times New Roman" w:hAnsi="Times New Roman" w:eastAsia="宋体" w:cs="Times New Roman"/>
                <w:color w:val="auto"/>
                <w:kern w:val="0"/>
                <w:sz w:val="21"/>
                <w:szCs w:val="21"/>
              </w:rPr>
            </w:pPr>
          </w:p>
        </w:tc>
        <w:tc>
          <w:tcPr>
            <w:tcW w:w="1361"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PEM™系统</w:t>
            </w:r>
          </w:p>
        </w:tc>
        <w:tc>
          <w:tcPr>
            <w:tcW w:w="951"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4TPD</w:t>
            </w:r>
          </w:p>
        </w:tc>
        <w:tc>
          <w:tcPr>
            <w:tcW w:w="1995"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医疗废物</w:t>
            </w:r>
          </w:p>
        </w:tc>
        <w:tc>
          <w:tcPr>
            <w:tcW w:w="1739"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美国夏威夷州檀香山市</w:t>
            </w:r>
          </w:p>
        </w:tc>
        <w:tc>
          <w:tcPr>
            <w:tcW w:w="709"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1999</w:t>
            </w:r>
          </w:p>
        </w:tc>
        <w:tc>
          <w:tcPr>
            <w:tcW w:w="1417" w:type="dxa"/>
            <w:vMerge w:val="continue"/>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left"/>
              <w:rPr>
                <w:rFonts w:ascii="Times New Roman" w:hAnsi="Times New Roman" w:eastAsia="宋体" w:cs="Times New Roman"/>
                <w:color w:val="auto"/>
                <w:kern w:val="2"/>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0" w:type="dxa"/>
            <w:tcBorders>
              <w:top w:val="single" w:color="auto" w:sz="4" w:space="0"/>
              <w:left w:val="single" w:color="auto" w:sz="4" w:space="0"/>
              <w:bottom w:val="single" w:color="auto" w:sz="4" w:space="0"/>
              <w:right w:val="single" w:color="auto" w:sz="4" w:space="0"/>
            </w:tcBorders>
            <w:vAlign w:val="center"/>
          </w:tcPr>
          <w:p>
            <w:pPr>
              <w:pStyle w:val="23"/>
              <w:numPr>
                <w:ilvl w:val="0"/>
                <w:numId w:val="9"/>
              </w:numPr>
              <w:adjustRightInd w:val="0"/>
              <w:snapToGrid w:val="0"/>
              <w:ind w:firstLineChars="0"/>
              <w:jc w:val="center"/>
              <w:rPr>
                <w:rFonts w:ascii="Times New Roman" w:hAnsi="Times New Roman" w:eastAsia="宋体" w:cs="Times New Roman"/>
                <w:color w:val="auto"/>
                <w:kern w:val="0"/>
                <w:sz w:val="21"/>
                <w:szCs w:val="21"/>
              </w:rPr>
            </w:pPr>
          </w:p>
        </w:tc>
        <w:tc>
          <w:tcPr>
            <w:tcW w:w="1361"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商业示范项目</w:t>
            </w:r>
          </w:p>
        </w:tc>
        <w:tc>
          <w:tcPr>
            <w:tcW w:w="951"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10TPD</w:t>
            </w:r>
          </w:p>
        </w:tc>
        <w:tc>
          <w:tcPr>
            <w:tcW w:w="1995"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危险废物与放射性废弃物</w:t>
            </w:r>
          </w:p>
        </w:tc>
        <w:tc>
          <w:tcPr>
            <w:tcW w:w="1739"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美国华盛顿州里奇兰</w:t>
            </w:r>
          </w:p>
        </w:tc>
        <w:tc>
          <w:tcPr>
            <w:tcW w:w="709"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1999</w:t>
            </w:r>
          </w:p>
        </w:tc>
        <w:tc>
          <w:tcPr>
            <w:tcW w:w="1417" w:type="dxa"/>
            <w:vMerge w:val="continue"/>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left"/>
              <w:rPr>
                <w:rFonts w:ascii="Times New Roman" w:hAnsi="Times New Roman" w:eastAsia="宋体" w:cs="Times New Roman"/>
                <w:color w:val="auto"/>
                <w:kern w:val="2"/>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0" w:type="dxa"/>
            <w:tcBorders>
              <w:top w:val="single" w:color="auto" w:sz="4" w:space="0"/>
              <w:left w:val="single" w:color="auto" w:sz="4" w:space="0"/>
              <w:bottom w:val="single" w:color="auto" w:sz="4" w:space="0"/>
              <w:right w:val="single" w:color="auto" w:sz="4" w:space="0"/>
            </w:tcBorders>
            <w:vAlign w:val="center"/>
          </w:tcPr>
          <w:p>
            <w:pPr>
              <w:pStyle w:val="23"/>
              <w:numPr>
                <w:ilvl w:val="0"/>
                <w:numId w:val="9"/>
              </w:numPr>
              <w:adjustRightInd w:val="0"/>
              <w:snapToGrid w:val="0"/>
              <w:ind w:firstLineChars="0"/>
              <w:jc w:val="center"/>
              <w:rPr>
                <w:rFonts w:ascii="Times New Roman" w:hAnsi="Times New Roman" w:eastAsia="宋体" w:cs="Times New Roman"/>
                <w:color w:val="auto"/>
                <w:kern w:val="0"/>
                <w:sz w:val="21"/>
                <w:szCs w:val="21"/>
              </w:rPr>
            </w:pPr>
          </w:p>
        </w:tc>
        <w:tc>
          <w:tcPr>
            <w:tcW w:w="1361"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PEM™系统</w:t>
            </w:r>
          </w:p>
        </w:tc>
        <w:tc>
          <w:tcPr>
            <w:tcW w:w="951"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1TPD</w:t>
            </w:r>
          </w:p>
        </w:tc>
        <w:tc>
          <w:tcPr>
            <w:tcW w:w="1995"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危险废物</w:t>
            </w:r>
          </w:p>
        </w:tc>
        <w:tc>
          <w:tcPr>
            <w:tcW w:w="1739"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日本Miyazaki市</w:t>
            </w:r>
          </w:p>
        </w:tc>
        <w:tc>
          <w:tcPr>
            <w:tcW w:w="709"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2000</w:t>
            </w:r>
          </w:p>
        </w:tc>
        <w:tc>
          <w:tcPr>
            <w:tcW w:w="1417" w:type="dxa"/>
            <w:vMerge w:val="continue"/>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left"/>
              <w:rPr>
                <w:rFonts w:ascii="Times New Roman" w:hAnsi="Times New Roman" w:eastAsia="宋体" w:cs="Times New Roman"/>
                <w:color w:val="auto"/>
                <w:kern w:val="2"/>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0" w:type="dxa"/>
            <w:tcBorders>
              <w:top w:val="single" w:color="auto" w:sz="4" w:space="0"/>
              <w:left w:val="single" w:color="auto" w:sz="4" w:space="0"/>
              <w:bottom w:val="single" w:color="auto" w:sz="4" w:space="0"/>
              <w:right w:val="single" w:color="auto" w:sz="4" w:space="0"/>
            </w:tcBorders>
            <w:vAlign w:val="center"/>
          </w:tcPr>
          <w:p>
            <w:pPr>
              <w:pStyle w:val="23"/>
              <w:numPr>
                <w:ilvl w:val="0"/>
                <w:numId w:val="9"/>
              </w:numPr>
              <w:adjustRightInd w:val="0"/>
              <w:snapToGrid w:val="0"/>
              <w:ind w:firstLineChars="0"/>
              <w:jc w:val="center"/>
              <w:rPr>
                <w:rFonts w:ascii="Times New Roman" w:hAnsi="Times New Roman" w:eastAsia="宋体" w:cs="Times New Roman"/>
                <w:color w:val="auto"/>
                <w:kern w:val="0"/>
                <w:sz w:val="21"/>
                <w:szCs w:val="21"/>
              </w:rPr>
            </w:pPr>
          </w:p>
        </w:tc>
        <w:tc>
          <w:tcPr>
            <w:tcW w:w="1361"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PEM™系统</w:t>
            </w:r>
          </w:p>
        </w:tc>
        <w:tc>
          <w:tcPr>
            <w:tcW w:w="951"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4TPD</w:t>
            </w:r>
          </w:p>
        </w:tc>
        <w:tc>
          <w:tcPr>
            <w:tcW w:w="1995"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医疗废物</w:t>
            </w:r>
          </w:p>
        </w:tc>
        <w:tc>
          <w:tcPr>
            <w:tcW w:w="1739"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台湾</w:t>
            </w:r>
          </w:p>
        </w:tc>
        <w:tc>
          <w:tcPr>
            <w:tcW w:w="709"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2001</w:t>
            </w:r>
          </w:p>
        </w:tc>
        <w:tc>
          <w:tcPr>
            <w:tcW w:w="1417" w:type="dxa"/>
            <w:vMerge w:val="continue"/>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left"/>
              <w:rPr>
                <w:rFonts w:ascii="Times New Roman" w:hAnsi="Times New Roman" w:eastAsia="宋体" w:cs="Times New Roman"/>
                <w:color w:val="auto"/>
                <w:kern w:val="2"/>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0" w:type="dxa"/>
            <w:tcBorders>
              <w:top w:val="single" w:color="auto" w:sz="4" w:space="0"/>
              <w:left w:val="single" w:color="auto" w:sz="4" w:space="0"/>
              <w:bottom w:val="single" w:color="auto" w:sz="4" w:space="0"/>
              <w:right w:val="single" w:color="auto" w:sz="4" w:space="0"/>
            </w:tcBorders>
            <w:vAlign w:val="center"/>
          </w:tcPr>
          <w:p>
            <w:pPr>
              <w:pStyle w:val="23"/>
              <w:numPr>
                <w:ilvl w:val="0"/>
                <w:numId w:val="9"/>
              </w:numPr>
              <w:adjustRightInd w:val="0"/>
              <w:snapToGrid w:val="0"/>
              <w:ind w:firstLineChars="0"/>
              <w:jc w:val="center"/>
              <w:rPr>
                <w:rFonts w:ascii="Times New Roman" w:hAnsi="Times New Roman" w:eastAsia="宋体" w:cs="Times New Roman"/>
                <w:color w:val="auto"/>
                <w:kern w:val="0"/>
                <w:sz w:val="21"/>
                <w:szCs w:val="21"/>
              </w:rPr>
            </w:pPr>
          </w:p>
        </w:tc>
        <w:tc>
          <w:tcPr>
            <w:tcW w:w="1361"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PEM™系统</w:t>
            </w:r>
          </w:p>
        </w:tc>
        <w:tc>
          <w:tcPr>
            <w:tcW w:w="951"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4TPD</w:t>
            </w:r>
          </w:p>
        </w:tc>
        <w:tc>
          <w:tcPr>
            <w:tcW w:w="1995"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医疗废物及废电池</w:t>
            </w:r>
          </w:p>
        </w:tc>
        <w:tc>
          <w:tcPr>
            <w:tcW w:w="1739"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台湾</w:t>
            </w:r>
          </w:p>
        </w:tc>
        <w:tc>
          <w:tcPr>
            <w:tcW w:w="709"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2004</w:t>
            </w:r>
          </w:p>
        </w:tc>
        <w:tc>
          <w:tcPr>
            <w:tcW w:w="1417" w:type="dxa"/>
            <w:vMerge w:val="continue"/>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left"/>
              <w:rPr>
                <w:rFonts w:ascii="Times New Roman" w:hAnsi="Times New Roman" w:eastAsia="宋体" w:cs="Times New Roman"/>
                <w:color w:val="auto"/>
                <w:kern w:val="2"/>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0" w:type="dxa"/>
            <w:tcBorders>
              <w:top w:val="single" w:color="auto" w:sz="4" w:space="0"/>
              <w:left w:val="single" w:color="auto" w:sz="4" w:space="0"/>
              <w:bottom w:val="single" w:color="auto" w:sz="4" w:space="0"/>
              <w:right w:val="single" w:color="auto" w:sz="4" w:space="0"/>
            </w:tcBorders>
            <w:vAlign w:val="center"/>
          </w:tcPr>
          <w:p>
            <w:pPr>
              <w:pStyle w:val="23"/>
              <w:numPr>
                <w:ilvl w:val="0"/>
                <w:numId w:val="9"/>
              </w:numPr>
              <w:adjustRightInd w:val="0"/>
              <w:snapToGrid w:val="0"/>
              <w:ind w:firstLineChars="0"/>
              <w:jc w:val="center"/>
              <w:rPr>
                <w:rFonts w:ascii="Times New Roman" w:hAnsi="Times New Roman" w:eastAsia="宋体" w:cs="Times New Roman"/>
                <w:color w:val="auto"/>
                <w:kern w:val="0"/>
                <w:sz w:val="21"/>
                <w:szCs w:val="21"/>
              </w:rPr>
            </w:pPr>
          </w:p>
        </w:tc>
        <w:tc>
          <w:tcPr>
            <w:tcW w:w="1361"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hint="eastAsia"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国立成功大学废弃物处理</w:t>
            </w:r>
          </w:p>
        </w:tc>
        <w:tc>
          <w:tcPr>
            <w:tcW w:w="951"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3TPD</w:t>
            </w:r>
          </w:p>
        </w:tc>
        <w:tc>
          <w:tcPr>
            <w:tcW w:w="1995"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医疗废弃物、焚化灰、有害固体有机废物、</w:t>
            </w:r>
            <w:r>
              <w:rPr>
                <w:rFonts w:hint="eastAsia" w:ascii="Times New Roman" w:hAnsi="Times New Roman" w:eastAsia="宋体" w:cs="Times New Roman"/>
                <w:color w:val="auto"/>
                <w:kern w:val="0"/>
                <w:sz w:val="21"/>
                <w:szCs w:val="21"/>
              </w:rPr>
              <w:t>废水处理工厂污泥</w:t>
            </w:r>
          </w:p>
        </w:tc>
        <w:tc>
          <w:tcPr>
            <w:tcW w:w="1739"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台湾</w:t>
            </w:r>
          </w:p>
        </w:tc>
        <w:tc>
          <w:tcPr>
            <w:tcW w:w="709"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2004</w:t>
            </w:r>
          </w:p>
        </w:tc>
        <w:tc>
          <w:tcPr>
            <w:tcW w:w="1417" w:type="dxa"/>
            <w:vMerge w:val="restart"/>
            <w:tcBorders>
              <w:top w:val="single" w:color="auto" w:sz="4" w:space="0"/>
              <w:left w:val="single" w:color="auto" w:sz="4" w:space="0"/>
              <w:right w:val="single" w:color="auto" w:sz="4" w:space="0"/>
            </w:tcBorders>
            <w:vAlign w:val="center"/>
          </w:tcPr>
          <w:p>
            <w:pPr>
              <w:widowControl/>
              <w:adjustRightInd w:val="0"/>
              <w:snapToGrid w:val="0"/>
              <w:jc w:val="left"/>
              <w:rPr>
                <w:rFonts w:ascii="Times New Roman" w:hAnsi="Times New Roman" w:eastAsia="宋体" w:cs="Times New Roman"/>
                <w:color w:val="auto"/>
                <w:kern w:val="2"/>
                <w:sz w:val="21"/>
                <w:szCs w:val="21"/>
              </w:rPr>
            </w:pPr>
            <w:r>
              <w:rPr>
                <w:rFonts w:ascii="Times New Roman" w:hAnsi="Times New Roman" w:eastAsia="宋体" w:cs="Times New Roman"/>
                <w:color w:val="auto"/>
                <w:kern w:val="0"/>
                <w:sz w:val="21"/>
                <w:szCs w:val="21"/>
              </w:rPr>
              <w:t>美国 PEAT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0" w:type="dxa"/>
            <w:tcBorders>
              <w:top w:val="single" w:color="auto" w:sz="4" w:space="0"/>
              <w:left w:val="single" w:color="auto" w:sz="4" w:space="0"/>
              <w:bottom w:val="single" w:color="auto" w:sz="4" w:space="0"/>
              <w:right w:val="single" w:color="auto" w:sz="4" w:space="0"/>
            </w:tcBorders>
            <w:vAlign w:val="center"/>
          </w:tcPr>
          <w:p>
            <w:pPr>
              <w:pStyle w:val="23"/>
              <w:numPr>
                <w:ilvl w:val="0"/>
                <w:numId w:val="9"/>
              </w:numPr>
              <w:adjustRightInd w:val="0"/>
              <w:snapToGrid w:val="0"/>
              <w:ind w:firstLineChars="0"/>
              <w:jc w:val="center"/>
              <w:rPr>
                <w:rFonts w:ascii="Times New Roman" w:hAnsi="Times New Roman" w:eastAsia="宋体" w:cs="Times New Roman"/>
                <w:color w:val="auto"/>
                <w:kern w:val="0"/>
                <w:sz w:val="21"/>
                <w:szCs w:val="21"/>
              </w:rPr>
            </w:pPr>
          </w:p>
        </w:tc>
        <w:tc>
          <w:tcPr>
            <w:tcW w:w="1361"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医疗设施废弃物</w:t>
            </w:r>
            <w:r>
              <w:rPr>
                <w:rFonts w:hint="eastAsia" w:ascii="Times New Roman" w:hAnsi="Times New Roman" w:eastAsia="宋体" w:cs="Times New Roman"/>
                <w:color w:val="auto"/>
                <w:kern w:val="0"/>
                <w:sz w:val="21"/>
                <w:szCs w:val="21"/>
              </w:rPr>
              <w:t>处理厂</w:t>
            </w:r>
          </w:p>
        </w:tc>
        <w:tc>
          <w:tcPr>
            <w:tcW w:w="951"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50TPD</w:t>
            </w:r>
          </w:p>
        </w:tc>
        <w:tc>
          <w:tcPr>
            <w:tcW w:w="1995"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医疗废弃物、电池、汞污染的</w:t>
            </w:r>
            <w:r>
              <w:rPr>
                <w:rFonts w:hint="eastAsia" w:ascii="Times New Roman" w:hAnsi="Times New Roman" w:eastAsia="宋体" w:cs="Times New Roman"/>
                <w:color w:val="auto"/>
                <w:kern w:val="0"/>
                <w:sz w:val="21"/>
                <w:szCs w:val="21"/>
              </w:rPr>
              <w:t>淤泥转运</w:t>
            </w:r>
          </w:p>
        </w:tc>
        <w:tc>
          <w:tcPr>
            <w:tcW w:w="1739"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台湾</w:t>
            </w:r>
          </w:p>
        </w:tc>
        <w:tc>
          <w:tcPr>
            <w:tcW w:w="709"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2002</w:t>
            </w:r>
          </w:p>
        </w:tc>
        <w:tc>
          <w:tcPr>
            <w:tcW w:w="1417" w:type="dxa"/>
            <w:vMerge w:val="continue"/>
            <w:tcBorders>
              <w:left w:val="single" w:color="auto" w:sz="4" w:space="0"/>
              <w:bottom w:val="single" w:color="auto" w:sz="4" w:space="0"/>
              <w:right w:val="single" w:color="auto" w:sz="4" w:space="0"/>
            </w:tcBorders>
            <w:vAlign w:val="center"/>
          </w:tcPr>
          <w:p>
            <w:pPr>
              <w:widowControl/>
              <w:adjustRightInd w:val="0"/>
              <w:snapToGrid w:val="0"/>
              <w:jc w:val="left"/>
              <w:rPr>
                <w:rFonts w:ascii="Times New Roman" w:hAnsi="Times New Roman" w:eastAsia="宋体" w:cs="Times New Roman"/>
                <w:color w:val="auto"/>
                <w:kern w:val="2"/>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0" w:type="dxa"/>
            <w:tcBorders>
              <w:top w:val="single" w:color="auto" w:sz="4" w:space="0"/>
              <w:left w:val="single" w:color="auto" w:sz="4" w:space="0"/>
              <w:bottom w:val="single" w:color="auto" w:sz="4" w:space="0"/>
              <w:right w:val="single" w:color="auto" w:sz="4" w:space="0"/>
            </w:tcBorders>
            <w:vAlign w:val="center"/>
          </w:tcPr>
          <w:p>
            <w:pPr>
              <w:pStyle w:val="23"/>
              <w:numPr>
                <w:ilvl w:val="0"/>
                <w:numId w:val="9"/>
              </w:numPr>
              <w:adjustRightInd w:val="0"/>
              <w:snapToGrid w:val="0"/>
              <w:ind w:firstLineChars="0"/>
              <w:jc w:val="center"/>
              <w:rPr>
                <w:rFonts w:ascii="Times New Roman" w:hAnsi="Times New Roman" w:eastAsia="宋体" w:cs="Times New Roman"/>
                <w:color w:val="auto"/>
                <w:kern w:val="0"/>
                <w:sz w:val="21"/>
                <w:szCs w:val="21"/>
              </w:rPr>
            </w:pPr>
          </w:p>
        </w:tc>
        <w:tc>
          <w:tcPr>
            <w:tcW w:w="1361"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移动式等离子弧垃圾处理系统</w:t>
            </w:r>
          </w:p>
        </w:tc>
        <w:tc>
          <w:tcPr>
            <w:tcW w:w="951"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3100t/a</w:t>
            </w:r>
          </w:p>
        </w:tc>
        <w:tc>
          <w:tcPr>
            <w:tcW w:w="1995"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市政、工业、危险和生物医疗废弃物</w:t>
            </w:r>
          </w:p>
        </w:tc>
        <w:tc>
          <w:tcPr>
            <w:tcW w:w="1739"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美国佛罗里达州赫尔伯特空军基地</w:t>
            </w:r>
          </w:p>
        </w:tc>
        <w:tc>
          <w:tcPr>
            <w:tcW w:w="709"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2010</w:t>
            </w:r>
          </w:p>
        </w:tc>
        <w:tc>
          <w:tcPr>
            <w:tcW w:w="1417"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left"/>
              <w:rPr>
                <w:rFonts w:ascii="Times New Roman" w:hAnsi="Times New Roman" w:eastAsia="宋体" w:cs="Times New Roman"/>
                <w:color w:val="auto"/>
                <w:kern w:val="2"/>
                <w:sz w:val="21"/>
                <w:szCs w:val="21"/>
              </w:rPr>
            </w:pPr>
            <w:r>
              <w:rPr>
                <w:rFonts w:ascii="Times New Roman" w:hAnsi="Times New Roman" w:eastAsia="宋体" w:cs="Times New Roman"/>
                <w:color w:val="auto"/>
                <w:kern w:val="0"/>
                <w:sz w:val="21"/>
                <w:szCs w:val="21"/>
              </w:rPr>
              <w:t>加拿大Pyrogenesis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0" w:type="dxa"/>
            <w:tcBorders>
              <w:top w:val="single" w:color="auto" w:sz="4" w:space="0"/>
              <w:left w:val="single" w:color="auto" w:sz="4" w:space="0"/>
              <w:bottom w:val="single" w:color="auto" w:sz="4" w:space="0"/>
              <w:right w:val="single" w:color="auto" w:sz="4" w:space="0"/>
            </w:tcBorders>
            <w:vAlign w:val="center"/>
          </w:tcPr>
          <w:p>
            <w:pPr>
              <w:pStyle w:val="23"/>
              <w:numPr>
                <w:ilvl w:val="0"/>
                <w:numId w:val="9"/>
              </w:numPr>
              <w:adjustRightInd w:val="0"/>
              <w:snapToGrid w:val="0"/>
              <w:ind w:firstLineChars="0"/>
              <w:jc w:val="center"/>
              <w:rPr>
                <w:rFonts w:ascii="Times New Roman" w:hAnsi="Times New Roman" w:eastAsia="宋体" w:cs="Times New Roman"/>
                <w:color w:val="auto"/>
                <w:kern w:val="0"/>
                <w:sz w:val="21"/>
                <w:szCs w:val="21"/>
              </w:rPr>
            </w:pPr>
          </w:p>
        </w:tc>
        <w:tc>
          <w:tcPr>
            <w:tcW w:w="1361"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危废处理示范系统</w:t>
            </w:r>
          </w:p>
        </w:tc>
        <w:tc>
          <w:tcPr>
            <w:tcW w:w="951"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50kg/h</w:t>
            </w:r>
          </w:p>
        </w:tc>
        <w:tc>
          <w:tcPr>
            <w:tcW w:w="1995"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危险废物</w:t>
            </w:r>
          </w:p>
        </w:tc>
        <w:tc>
          <w:tcPr>
            <w:tcW w:w="1739"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希腊维欧提亚</w:t>
            </w:r>
          </w:p>
        </w:tc>
        <w:tc>
          <w:tcPr>
            <w:tcW w:w="709"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2002</w:t>
            </w:r>
          </w:p>
        </w:tc>
        <w:tc>
          <w:tcPr>
            <w:tcW w:w="1417"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left"/>
              <w:rPr>
                <w:rFonts w:ascii="Times New Roman" w:hAnsi="Times New Roman" w:eastAsia="宋体" w:cs="Times New Roman"/>
                <w:color w:val="auto"/>
                <w:kern w:val="2"/>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70" w:type="dxa"/>
            <w:tcBorders>
              <w:top w:val="single" w:color="auto" w:sz="4" w:space="0"/>
              <w:left w:val="single" w:color="auto" w:sz="4" w:space="0"/>
              <w:bottom w:val="single" w:color="auto" w:sz="4" w:space="0"/>
              <w:right w:val="single" w:color="auto" w:sz="4" w:space="0"/>
            </w:tcBorders>
            <w:vAlign w:val="center"/>
          </w:tcPr>
          <w:p>
            <w:pPr>
              <w:pStyle w:val="23"/>
              <w:numPr>
                <w:ilvl w:val="0"/>
                <w:numId w:val="9"/>
              </w:numPr>
              <w:adjustRightInd w:val="0"/>
              <w:snapToGrid w:val="0"/>
              <w:ind w:firstLineChars="0"/>
              <w:jc w:val="center"/>
              <w:rPr>
                <w:rFonts w:ascii="Times New Roman" w:hAnsi="Times New Roman" w:eastAsia="宋体" w:cs="Times New Roman"/>
                <w:color w:val="auto"/>
                <w:kern w:val="0"/>
                <w:sz w:val="20"/>
                <w:szCs w:val="21"/>
              </w:rPr>
            </w:pPr>
          </w:p>
        </w:tc>
        <w:tc>
          <w:tcPr>
            <w:tcW w:w="1361"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0"/>
                <w:szCs w:val="21"/>
              </w:rPr>
            </w:pPr>
            <w:r>
              <w:rPr>
                <w:rFonts w:hint="eastAsia" w:ascii="Times New Roman" w:hAnsi="Times New Roman" w:eastAsia="宋体" w:cs="Times New Roman"/>
                <w:color w:val="auto"/>
                <w:kern w:val="0"/>
                <w:sz w:val="20"/>
                <w:szCs w:val="21"/>
              </w:rPr>
              <w:t>危废处置示范项目</w:t>
            </w:r>
          </w:p>
        </w:tc>
        <w:tc>
          <w:tcPr>
            <w:tcW w:w="951"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rFonts w:ascii="Times New Roman" w:hAnsi="Times New Roman" w:eastAsia="宋体" w:cs="Times New Roman"/>
                <w:color w:val="auto"/>
                <w:kern w:val="0"/>
                <w:sz w:val="20"/>
                <w:szCs w:val="21"/>
              </w:rPr>
            </w:pPr>
            <w:r>
              <w:rPr>
                <w:rFonts w:hint="eastAsia" w:ascii="Times New Roman" w:hAnsi="Times New Roman" w:eastAsia="宋体" w:cs="Times New Roman"/>
                <w:color w:val="auto"/>
                <w:kern w:val="0"/>
                <w:sz w:val="20"/>
                <w:szCs w:val="21"/>
              </w:rPr>
              <w:t>10t/d</w:t>
            </w:r>
          </w:p>
        </w:tc>
        <w:tc>
          <w:tcPr>
            <w:tcW w:w="1995"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0"/>
                <w:szCs w:val="21"/>
              </w:rPr>
            </w:pPr>
            <w:r>
              <w:rPr>
                <w:rFonts w:hint="eastAsia" w:ascii="Times New Roman" w:hAnsi="Times New Roman" w:eastAsia="宋体" w:cs="Times New Roman"/>
                <w:color w:val="auto"/>
                <w:kern w:val="0"/>
                <w:sz w:val="20"/>
                <w:szCs w:val="21"/>
              </w:rPr>
              <w:t>医疗废物</w:t>
            </w:r>
          </w:p>
        </w:tc>
        <w:tc>
          <w:tcPr>
            <w:tcW w:w="1739"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0"/>
                <w:szCs w:val="21"/>
              </w:rPr>
            </w:pPr>
            <w:r>
              <w:rPr>
                <w:rFonts w:hint="eastAsia" w:ascii="Times New Roman" w:hAnsi="Times New Roman" w:eastAsia="宋体" w:cs="Times New Roman"/>
                <w:color w:val="auto"/>
                <w:kern w:val="0"/>
                <w:sz w:val="20"/>
                <w:szCs w:val="21"/>
              </w:rPr>
              <w:t>广东清远</w:t>
            </w:r>
          </w:p>
        </w:tc>
        <w:tc>
          <w:tcPr>
            <w:tcW w:w="709"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Times New Roman" w:hAnsi="Times New Roman" w:eastAsia="宋体" w:cs="Times New Roman"/>
                <w:color w:val="auto"/>
                <w:kern w:val="0"/>
                <w:sz w:val="20"/>
                <w:szCs w:val="21"/>
              </w:rPr>
            </w:pPr>
            <w:r>
              <w:rPr>
                <w:rFonts w:hint="eastAsia" w:ascii="Times New Roman" w:hAnsi="Times New Roman" w:eastAsia="宋体" w:cs="Times New Roman"/>
                <w:color w:val="auto"/>
                <w:kern w:val="0"/>
                <w:sz w:val="20"/>
                <w:szCs w:val="21"/>
              </w:rPr>
              <w:t>2018</w:t>
            </w:r>
          </w:p>
        </w:tc>
        <w:tc>
          <w:tcPr>
            <w:tcW w:w="1417"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left"/>
              <w:rPr>
                <w:rFonts w:ascii="Times New Roman" w:hAnsi="Times New Roman" w:eastAsia="宋体" w:cs="Times New Roman"/>
                <w:color w:val="auto"/>
                <w:kern w:val="0"/>
                <w:sz w:val="20"/>
                <w:szCs w:val="21"/>
              </w:rPr>
            </w:pPr>
            <w:r>
              <w:rPr>
                <w:rFonts w:hint="eastAsia" w:ascii="Times New Roman" w:hAnsi="Times New Roman" w:eastAsia="宋体" w:cs="Times New Roman"/>
                <w:color w:val="auto"/>
                <w:kern w:val="0"/>
                <w:sz w:val="20"/>
                <w:szCs w:val="21"/>
              </w:rPr>
              <w:t>中广核</w:t>
            </w:r>
          </w:p>
        </w:tc>
      </w:tr>
    </w:tbl>
    <w:p>
      <w:pPr>
        <w:snapToGrid w:val="0"/>
        <w:spacing w:line="360" w:lineRule="auto"/>
        <w:ind w:firstLine="480" w:firstLineChars="200"/>
        <w:rPr>
          <w:rFonts w:ascii="Times New Roman" w:hAnsi="Times New Roman" w:cs="Times New Roman"/>
          <w:color w:val="auto"/>
          <w:sz w:val="24"/>
          <w:szCs w:val="24"/>
        </w:rPr>
      </w:pPr>
    </w:p>
    <w:p>
      <w:pPr>
        <w:pStyle w:val="32"/>
        <w:ind w:firstLine="480"/>
        <w:rPr>
          <w:color w:val="auto"/>
        </w:rPr>
      </w:pPr>
      <w:r>
        <w:rPr>
          <w:color w:val="auto"/>
        </w:rPr>
        <w:t>上海市固废处置中心借鉴国际先进技术和经验，引入等离子体气化设施，处理危险废物、医疗废物等，做到了固废</w:t>
      </w:r>
      <w:r>
        <w:rPr>
          <w:rFonts w:hint="eastAsia"/>
          <w:color w:val="auto"/>
        </w:rPr>
        <w:t>处置</w:t>
      </w:r>
      <w:r>
        <w:rPr>
          <w:color w:val="auto"/>
        </w:rPr>
        <w:t>的减量化、无害化和资源化。等离子体气化炉示范装置核心设备——等离子炬采用的是美国西屋环境公司进口等离子体专用技术。示范装置由上海市固废处置中心与吉天师能源科技（上海）有限公司共同建设完成。这套设备建于上海市固体废物处置中心第三条焚烧生产线公用工程楼西侧的预留用地上，占地面积约1500平方米。设施处置规模为30吨/天，处置对象为医疗废物。等离子体气化装置主体由进料系统、气化炉、二燃室、余热锅炉、静电除尘器、干式反应塔、布袋除尘器、湿式洗涤塔等部分组成。但是由于缺少核心等离子体炬，项目运行效果并不佳，核心设备受制于人，现设备已拆除。</w:t>
      </w:r>
    </w:p>
    <w:p>
      <w:pPr>
        <w:pStyle w:val="2"/>
        <w:rPr>
          <w:rFonts w:ascii="Times New Roman" w:hAnsi="Times New Roman" w:cs="Times New Roman"/>
          <w:color w:val="auto"/>
        </w:rPr>
      </w:pPr>
      <w:bookmarkStart w:id="28" w:name="_Toc28318"/>
      <w:r>
        <w:rPr>
          <w:rFonts w:ascii="Times New Roman" w:hAnsi="Times New Roman" w:cs="Times New Roman"/>
          <w:color w:val="auto"/>
        </w:rPr>
        <w:t>制定标准的原则和框架结构</w:t>
      </w:r>
      <w:bookmarkEnd w:id="28"/>
    </w:p>
    <w:p>
      <w:pPr>
        <w:pStyle w:val="3"/>
        <w:rPr>
          <w:rFonts w:cs="Times New Roman"/>
          <w:color w:val="auto"/>
        </w:rPr>
      </w:pPr>
      <w:bookmarkStart w:id="29" w:name="_Toc17584"/>
      <w:r>
        <w:rPr>
          <w:rFonts w:cs="Times New Roman"/>
          <w:color w:val="auto"/>
        </w:rPr>
        <w:t>标准制定的指导思想</w:t>
      </w:r>
      <w:bookmarkEnd w:id="29"/>
    </w:p>
    <w:p>
      <w:pPr>
        <w:pStyle w:val="32"/>
        <w:ind w:firstLine="480"/>
        <w:rPr>
          <w:color w:val="auto"/>
        </w:rPr>
      </w:pPr>
      <w:r>
        <w:rPr>
          <w:color w:val="auto"/>
        </w:rPr>
        <w:t>为引导医疗废物处置行业的技术升级换代，推进医疗废物无害化、减量化、资源化目标实现，并从全面贯彻落实《中华人民共和国固体废物污染环境防治法》等有关法律、法规、政策和标准的实际需求出发，围绕</w:t>
      </w:r>
      <w:r>
        <w:rPr>
          <w:rFonts w:hint="eastAsia"/>
          <w:color w:val="auto"/>
          <w:lang w:eastAsia="zh-CN"/>
        </w:rPr>
        <w:t>医疗废物等离子体集中处理处置工程</w:t>
      </w:r>
      <w:r>
        <w:rPr>
          <w:rFonts w:hint="eastAsia"/>
          <w:color w:val="auto"/>
        </w:rPr>
        <w:t>的总体要求、工艺设计、</w:t>
      </w:r>
      <w:r>
        <w:rPr>
          <w:rFonts w:hint="eastAsia"/>
          <w:color w:val="auto"/>
          <w:lang w:val="en-US" w:eastAsia="zh-CN"/>
        </w:rPr>
        <w:t>环境管理要求</w:t>
      </w:r>
      <w:r>
        <w:rPr>
          <w:rFonts w:hint="eastAsia"/>
          <w:color w:val="auto"/>
        </w:rPr>
        <w:t>、辅助工程</w:t>
      </w:r>
      <w:r>
        <w:rPr>
          <w:rFonts w:hint="eastAsia"/>
          <w:color w:val="auto"/>
          <w:lang w:val="en-US" w:eastAsia="zh-CN"/>
        </w:rPr>
        <w:t>配套设施</w:t>
      </w:r>
      <w:r>
        <w:rPr>
          <w:rFonts w:hint="eastAsia"/>
          <w:color w:val="auto"/>
        </w:rPr>
        <w:t>、劳动安全与职业卫生</w:t>
      </w:r>
      <w:r>
        <w:rPr>
          <w:rFonts w:hint="eastAsia"/>
          <w:color w:val="auto"/>
          <w:lang w:val="en-US" w:eastAsia="zh-CN"/>
        </w:rPr>
        <w:t>和</w:t>
      </w:r>
      <w:r>
        <w:rPr>
          <w:rFonts w:hint="eastAsia"/>
          <w:color w:val="auto"/>
        </w:rPr>
        <w:t>运营管理要求</w:t>
      </w:r>
      <w:r>
        <w:rPr>
          <w:color w:val="auto"/>
        </w:rPr>
        <w:t>制定本标准。</w:t>
      </w:r>
    </w:p>
    <w:p>
      <w:pPr>
        <w:pStyle w:val="3"/>
        <w:rPr>
          <w:rFonts w:cs="Times New Roman"/>
          <w:color w:val="auto"/>
        </w:rPr>
      </w:pPr>
      <w:bookmarkStart w:id="30" w:name="_Toc18142"/>
      <w:r>
        <w:rPr>
          <w:rFonts w:cs="Times New Roman"/>
          <w:color w:val="auto"/>
        </w:rPr>
        <w:t>标准制定的基本原则</w:t>
      </w:r>
      <w:bookmarkEnd w:id="30"/>
    </w:p>
    <w:p>
      <w:pPr>
        <w:pStyle w:val="32"/>
        <w:ind w:firstLine="480"/>
        <w:rPr>
          <w:color w:val="auto"/>
        </w:rPr>
      </w:pPr>
      <w:r>
        <w:rPr>
          <w:color w:val="auto"/>
        </w:rPr>
        <w:t>本标准的制定主要遵循以下原则：</w:t>
      </w:r>
    </w:p>
    <w:p>
      <w:pPr>
        <w:pStyle w:val="32"/>
        <w:ind w:firstLine="480"/>
        <w:rPr>
          <w:color w:val="auto"/>
        </w:rPr>
      </w:pPr>
      <w:r>
        <w:rPr>
          <w:color w:val="auto"/>
        </w:rPr>
        <w:t>（1）符合《中华人民共和国固体废物污染环境防治法》以及其它相关政策、法规的要求，提出</w:t>
      </w:r>
      <w:r>
        <w:rPr>
          <w:rFonts w:hint="eastAsia"/>
          <w:color w:val="auto"/>
          <w:lang w:eastAsia="zh-CN"/>
        </w:rPr>
        <w:t>医疗废物等离子体集中处理处置工程</w:t>
      </w:r>
      <w:r>
        <w:rPr>
          <w:color w:val="auto"/>
        </w:rPr>
        <w:t>的总体要求。</w:t>
      </w:r>
    </w:p>
    <w:p>
      <w:pPr>
        <w:pStyle w:val="32"/>
        <w:ind w:firstLine="480"/>
        <w:rPr>
          <w:color w:val="auto"/>
        </w:rPr>
      </w:pPr>
      <w:r>
        <w:rPr>
          <w:color w:val="auto"/>
        </w:rPr>
        <w:t>（2）从保护环境和保护公民身体健康的角度出发，提出了医疗废物无害化、减量化、资源化为基本原则和主要目标，制定</w:t>
      </w:r>
      <w:r>
        <w:rPr>
          <w:rFonts w:hint="eastAsia"/>
          <w:color w:val="auto"/>
          <w:lang w:eastAsia="zh-CN"/>
        </w:rPr>
        <w:t>医疗废物等离子体集中处理处置工程</w:t>
      </w:r>
      <w:r>
        <w:rPr>
          <w:color w:val="auto"/>
        </w:rPr>
        <w:t>的总体要求、工艺设计、</w:t>
      </w:r>
      <w:r>
        <w:rPr>
          <w:rFonts w:hint="eastAsia"/>
          <w:color w:val="auto"/>
        </w:rPr>
        <w:t>污染物排放控制要求</w:t>
      </w:r>
      <w:r>
        <w:rPr>
          <w:color w:val="auto"/>
        </w:rPr>
        <w:t>、辅助工程、劳动安全与职业卫生、施工与验收、</w:t>
      </w:r>
      <w:r>
        <w:rPr>
          <w:rFonts w:hint="eastAsia"/>
          <w:color w:val="auto"/>
        </w:rPr>
        <w:t>运营管理</w:t>
      </w:r>
      <w:r>
        <w:rPr>
          <w:color w:val="auto"/>
        </w:rPr>
        <w:t>等技术要求。</w:t>
      </w:r>
    </w:p>
    <w:p>
      <w:pPr>
        <w:pStyle w:val="32"/>
        <w:ind w:firstLine="480"/>
        <w:rPr>
          <w:color w:val="auto"/>
        </w:rPr>
      </w:pPr>
      <w:r>
        <w:rPr>
          <w:color w:val="auto"/>
        </w:rPr>
        <w:t>（3）体现出宏观指导性，对医疗废物等离子体处置技术的应用及工程建设起到宏观的指导作用。</w:t>
      </w:r>
    </w:p>
    <w:p>
      <w:pPr>
        <w:pStyle w:val="3"/>
        <w:rPr>
          <w:rFonts w:cs="Times New Roman"/>
          <w:color w:val="auto"/>
        </w:rPr>
      </w:pPr>
      <w:bookmarkStart w:id="31" w:name="_Toc32596"/>
      <w:r>
        <w:rPr>
          <w:rFonts w:cs="Times New Roman"/>
          <w:color w:val="auto"/>
        </w:rPr>
        <w:t>标准结构框架</w:t>
      </w:r>
      <w:bookmarkEnd w:id="31"/>
    </w:p>
    <w:p>
      <w:pPr>
        <w:pStyle w:val="32"/>
        <w:ind w:firstLine="480"/>
        <w:rPr>
          <w:color w:val="auto"/>
        </w:rPr>
      </w:pPr>
      <w:r>
        <w:rPr>
          <w:color w:val="auto"/>
        </w:rPr>
        <w:t>第一章：范围</w:t>
      </w:r>
    </w:p>
    <w:p>
      <w:pPr>
        <w:pStyle w:val="32"/>
        <w:ind w:firstLine="480"/>
        <w:rPr>
          <w:color w:val="auto"/>
        </w:rPr>
      </w:pPr>
      <w:r>
        <w:rPr>
          <w:color w:val="auto"/>
        </w:rPr>
        <w:t>明确了标准编制内容和适用范围。</w:t>
      </w:r>
    </w:p>
    <w:p>
      <w:pPr>
        <w:pStyle w:val="32"/>
        <w:ind w:firstLine="480"/>
        <w:rPr>
          <w:color w:val="auto"/>
        </w:rPr>
      </w:pPr>
      <w:r>
        <w:rPr>
          <w:color w:val="auto"/>
        </w:rPr>
        <w:t>第二章：规范性引用文件</w:t>
      </w:r>
    </w:p>
    <w:p>
      <w:pPr>
        <w:pStyle w:val="32"/>
        <w:ind w:firstLine="480"/>
        <w:rPr>
          <w:color w:val="auto"/>
        </w:rPr>
      </w:pPr>
      <w:r>
        <w:rPr>
          <w:color w:val="auto"/>
        </w:rPr>
        <w:t>本章列出了本标准规范性引用其他标准</w:t>
      </w:r>
      <w:r>
        <w:rPr>
          <w:rFonts w:hint="eastAsia"/>
          <w:color w:val="auto"/>
        </w:rPr>
        <w:t>及文件</w:t>
      </w:r>
      <w:r>
        <w:rPr>
          <w:color w:val="auto"/>
        </w:rPr>
        <w:t>的清单。</w:t>
      </w:r>
    </w:p>
    <w:p>
      <w:pPr>
        <w:pStyle w:val="32"/>
        <w:ind w:firstLine="480"/>
        <w:rPr>
          <w:color w:val="auto"/>
        </w:rPr>
      </w:pPr>
      <w:r>
        <w:rPr>
          <w:color w:val="auto"/>
        </w:rPr>
        <w:t>第三章：术语与定义</w:t>
      </w:r>
    </w:p>
    <w:p>
      <w:pPr>
        <w:pStyle w:val="32"/>
        <w:ind w:firstLine="480"/>
        <w:rPr>
          <w:color w:val="auto"/>
        </w:rPr>
      </w:pPr>
      <w:r>
        <w:rPr>
          <w:color w:val="auto"/>
        </w:rPr>
        <w:t>本章对本标准中所涉及的主要管理和技术术语进行了定义。</w:t>
      </w:r>
    </w:p>
    <w:p>
      <w:pPr>
        <w:pStyle w:val="32"/>
        <w:ind w:firstLine="480"/>
        <w:rPr>
          <w:color w:val="auto"/>
        </w:rPr>
      </w:pPr>
      <w:r>
        <w:rPr>
          <w:color w:val="auto"/>
        </w:rPr>
        <w:t>第</w:t>
      </w:r>
      <w:r>
        <w:rPr>
          <w:rFonts w:hint="eastAsia"/>
          <w:color w:val="auto"/>
        </w:rPr>
        <w:t>四</w:t>
      </w:r>
      <w:r>
        <w:rPr>
          <w:color w:val="auto"/>
        </w:rPr>
        <w:t>章：总体</w:t>
      </w:r>
      <w:r>
        <w:rPr>
          <w:rFonts w:hint="eastAsia"/>
          <w:color w:val="auto"/>
        </w:rPr>
        <w:t>要求</w:t>
      </w:r>
    </w:p>
    <w:p>
      <w:pPr>
        <w:pStyle w:val="32"/>
        <w:ind w:firstLine="480"/>
        <w:rPr>
          <w:color w:val="auto"/>
        </w:rPr>
      </w:pPr>
      <w:r>
        <w:rPr>
          <w:color w:val="auto"/>
        </w:rPr>
        <w:t>本章提出</w:t>
      </w:r>
      <w:r>
        <w:rPr>
          <w:rFonts w:hint="eastAsia"/>
          <w:color w:val="auto"/>
          <w:lang w:eastAsia="zh-CN"/>
        </w:rPr>
        <w:t>医疗废物等离子体集中处理处置工程</w:t>
      </w:r>
      <w:r>
        <w:rPr>
          <w:rFonts w:hint="eastAsia"/>
          <w:color w:val="auto"/>
        </w:rPr>
        <w:t>建设的一般规定、</w:t>
      </w:r>
      <w:r>
        <w:rPr>
          <w:rFonts w:hint="eastAsia"/>
          <w:color w:val="auto"/>
          <w:lang w:val="en-US" w:eastAsia="zh-CN"/>
        </w:rPr>
        <w:t>选址要求</w:t>
      </w:r>
      <w:r>
        <w:rPr>
          <w:color w:val="auto"/>
        </w:rPr>
        <w:t>、总平面布置等通用性要求。</w:t>
      </w:r>
    </w:p>
    <w:p>
      <w:pPr>
        <w:pStyle w:val="32"/>
        <w:ind w:firstLine="480"/>
        <w:rPr>
          <w:color w:val="auto"/>
        </w:rPr>
      </w:pPr>
      <w:r>
        <w:rPr>
          <w:color w:val="auto"/>
        </w:rPr>
        <w:t>第</w:t>
      </w:r>
      <w:r>
        <w:rPr>
          <w:rFonts w:hint="eastAsia"/>
          <w:color w:val="auto"/>
        </w:rPr>
        <w:t>五</w:t>
      </w:r>
      <w:r>
        <w:rPr>
          <w:color w:val="auto"/>
        </w:rPr>
        <w:t>章：工艺设计</w:t>
      </w:r>
    </w:p>
    <w:p>
      <w:pPr>
        <w:pStyle w:val="32"/>
        <w:ind w:firstLine="480"/>
        <w:rPr>
          <w:color w:val="auto"/>
        </w:rPr>
      </w:pPr>
      <w:r>
        <w:rPr>
          <w:color w:val="auto"/>
        </w:rPr>
        <w:t>本章提出医疗废物等离子体集中</w:t>
      </w:r>
      <w:r>
        <w:rPr>
          <w:rFonts w:hint="eastAsia"/>
          <w:color w:val="auto"/>
          <w:lang w:val="en-US" w:eastAsia="zh-CN"/>
        </w:rPr>
        <w:t>处理</w:t>
      </w:r>
      <w:r>
        <w:rPr>
          <w:color w:val="auto"/>
        </w:rPr>
        <w:t>处置工艺中每个系统单元的通用性设计要求。</w:t>
      </w:r>
      <w:r>
        <w:rPr>
          <w:rFonts w:hint="eastAsia"/>
          <w:color w:val="auto"/>
        </w:rPr>
        <w:t>主要包括</w:t>
      </w:r>
      <w:r>
        <w:rPr>
          <w:color w:val="auto"/>
        </w:rPr>
        <w:t>接收</w:t>
      </w:r>
      <w:r>
        <w:rPr>
          <w:rFonts w:hint="eastAsia"/>
          <w:color w:val="auto"/>
        </w:rPr>
        <w:t>、</w:t>
      </w:r>
      <w:r>
        <w:rPr>
          <w:color w:val="auto"/>
        </w:rPr>
        <w:t>贮存</w:t>
      </w:r>
      <w:r>
        <w:rPr>
          <w:rFonts w:hint="eastAsia"/>
          <w:color w:val="auto"/>
        </w:rPr>
        <w:t>与输送系统、进料系统、清洗消毒系统、气化系统、等离子体发生器系统、</w:t>
      </w:r>
      <w:r>
        <w:rPr>
          <w:rFonts w:hint="eastAsia"/>
          <w:color w:val="auto"/>
          <w:lang w:val="en-US" w:eastAsia="zh-CN"/>
        </w:rPr>
        <w:t>余热</w:t>
      </w:r>
      <w:r>
        <w:rPr>
          <w:color w:val="auto"/>
        </w:rPr>
        <w:t>利用</w:t>
      </w:r>
      <w:r>
        <w:rPr>
          <w:rFonts w:hint="eastAsia"/>
          <w:color w:val="auto"/>
        </w:rPr>
        <w:t>系统、</w:t>
      </w:r>
      <w:r>
        <w:rPr>
          <w:color w:val="auto"/>
        </w:rPr>
        <w:t>烟气净化</w:t>
      </w:r>
      <w:r>
        <w:rPr>
          <w:rFonts w:hint="eastAsia"/>
          <w:color w:val="auto"/>
        </w:rPr>
        <w:t>系统、废水处理系统</w:t>
      </w:r>
      <w:r>
        <w:rPr>
          <w:rFonts w:hint="eastAsia"/>
          <w:color w:val="auto"/>
          <w:lang w:eastAsia="zh-CN"/>
        </w:rPr>
        <w:t>、</w:t>
      </w:r>
      <w:r>
        <w:rPr>
          <w:rFonts w:hint="eastAsia"/>
          <w:color w:val="auto"/>
          <w:lang w:val="en-US" w:eastAsia="zh-CN"/>
        </w:rPr>
        <w:t>自动控制系统</w:t>
      </w:r>
      <w:r>
        <w:rPr>
          <w:rFonts w:hint="eastAsia"/>
          <w:color w:val="auto"/>
        </w:rPr>
        <w:t>。针对等离子体集中</w:t>
      </w:r>
      <w:r>
        <w:rPr>
          <w:rFonts w:hint="eastAsia"/>
          <w:color w:val="auto"/>
          <w:lang w:val="en-US" w:eastAsia="zh-CN"/>
        </w:rPr>
        <w:t>处理</w:t>
      </w:r>
      <w:r>
        <w:rPr>
          <w:rFonts w:hint="eastAsia"/>
          <w:color w:val="auto"/>
        </w:rPr>
        <w:t>处置工艺的特殊单元等离子体发生器系统，就其插拔装置、谐波治理等提出明确要求。</w:t>
      </w:r>
    </w:p>
    <w:p>
      <w:pPr>
        <w:pStyle w:val="32"/>
        <w:ind w:firstLine="480"/>
        <w:rPr>
          <w:rFonts w:hint="default" w:eastAsia="宋体"/>
          <w:color w:val="auto"/>
          <w:lang w:val="en-US" w:eastAsia="zh-CN"/>
        </w:rPr>
      </w:pPr>
      <w:r>
        <w:rPr>
          <w:color w:val="auto"/>
        </w:rPr>
        <w:t>第</w:t>
      </w:r>
      <w:r>
        <w:rPr>
          <w:rFonts w:hint="eastAsia"/>
          <w:color w:val="auto"/>
        </w:rPr>
        <w:t>六</w:t>
      </w:r>
      <w:r>
        <w:rPr>
          <w:color w:val="auto"/>
        </w:rPr>
        <w:t>章：</w:t>
      </w:r>
      <w:r>
        <w:rPr>
          <w:rFonts w:hint="eastAsia"/>
          <w:color w:val="auto"/>
          <w:lang w:val="en-US" w:eastAsia="zh-CN"/>
        </w:rPr>
        <w:t>环境管理要求</w:t>
      </w:r>
    </w:p>
    <w:p>
      <w:pPr>
        <w:pStyle w:val="32"/>
        <w:ind w:firstLine="480"/>
        <w:rPr>
          <w:color w:val="auto"/>
        </w:rPr>
      </w:pPr>
      <w:r>
        <w:rPr>
          <w:color w:val="auto"/>
        </w:rPr>
        <w:t>本章提出</w:t>
      </w:r>
      <w:r>
        <w:rPr>
          <w:rFonts w:hint="eastAsia"/>
          <w:color w:val="auto"/>
          <w:lang w:eastAsia="zh-CN"/>
        </w:rPr>
        <w:t>医疗废物等离子体集中处理处置工程</w:t>
      </w:r>
      <w:r>
        <w:rPr>
          <w:color w:val="auto"/>
        </w:rPr>
        <w:t>关于</w:t>
      </w:r>
      <w:r>
        <w:rPr>
          <w:rFonts w:hint="eastAsia"/>
          <w:color w:val="auto"/>
          <w:lang w:val="en-US" w:eastAsia="zh-CN"/>
        </w:rPr>
        <w:t>废气、废水、熔融处理产物的</w:t>
      </w:r>
      <w:r>
        <w:rPr>
          <w:color w:val="auto"/>
        </w:rPr>
        <w:t>通用性设计要求。</w:t>
      </w:r>
      <w:r>
        <w:rPr>
          <w:rFonts w:hint="eastAsia"/>
          <w:color w:val="auto"/>
        </w:rPr>
        <w:t>特别</w:t>
      </w:r>
      <w:r>
        <w:rPr>
          <w:rFonts w:hint="eastAsia"/>
          <w:color w:val="auto"/>
          <w:lang w:val="en-US" w:eastAsia="zh-CN"/>
        </w:rPr>
        <w:t>对熔融处理产物的利用技术要求做出相应规定</w:t>
      </w:r>
      <w:r>
        <w:rPr>
          <w:rFonts w:hint="eastAsia"/>
          <w:color w:val="auto"/>
        </w:rPr>
        <w:t>。</w:t>
      </w:r>
    </w:p>
    <w:p>
      <w:pPr>
        <w:pStyle w:val="32"/>
        <w:ind w:firstLine="480"/>
        <w:rPr>
          <w:color w:val="auto"/>
        </w:rPr>
      </w:pPr>
      <w:r>
        <w:rPr>
          <w:color w:val="auto"/>
        </w:rPr>
        <w:t>第</w:t>
      </w:r>
      <w:r>
        <w:rPr>
          <w:rFonts w:hint="eastAsia"/>
          <w:color w:val="auto"/>
        </w:rPr>
        <w:t>七</w:t>
      </w:r>
      <w:r>
        <w:rPr>
          <w:color w:val="auto"/>
        </w:rPr>
        <w:t>章：辅助工程</w:t>
      </w:r>
      <w:r>
        <w:rPr>
          <w:rFonts w:hint="eastAsia"/>
          <w:color w:val="auto"/>
        </w:rPr>
        <w:t>和配套设施</w:t>
      </w:r>
    </w:p>
    <w:p>
      <w:pPr>
        <w:pStyle w:val="32"/>
        <w:ind w:firstLine="480"/>
        <w:rPr>
          <w:color w:val="auto"/>
        </w:rPr>
      </w:pPr>
      <w:r>
        <w:rPr>
          <w:color w:val="auto"/>
        </w:rPr>
        <w:t>本章提出</w:t>
      </w:r>
      <w:r>
        <w:rPr>
          <w:rFonts w:hint="eastAsia"/>
          <w:color w:val="auto"/>
          <w:lang w:eastAsia="zh-CN"/>
        </w:rPr>
        <w:t>医疗废物等离子体集中处理处置工程</w:t>
      </w:r>
      <w:r>
        <w:rPr>
          <w:color w:val="auto"/>
        </w:rPr>
        <w:t>中涉及到的辅助工程的通用性设计要求。</w:t>
      </w:r>
    </w:p>
    <w:p>
      <w:pPr>
        <w:pStyle w:val="32"/>
        <w:ind w:firstLine="480"/>
        <w:rPr>
          <w:color w:val="auto"/>
        </w:rPr>
      </w:pPr>
      <w:r>
        <w:rPr>
          <w:color w:val="auto"/>
        </w:rPr>
        <w:t>第</w:t>
      </w:r>
      <w:r>
        <w:rPr>
          <w:rFonts w:hint="eastAsia"/>
          <w:color w:val="auto"/>
        </w:rPr>
        <w:t>八</w:t>
      </w:r>
      <w:r>
        <w:rPr>
          <w:color w:val="auto"/>
        </w:rPr>
        <w:t>章：</w:t>
      </w:r>
      <w:r>
        <w:rPr>
          <w:rFonts w:hint="eastAsia"/>
          <w:color w:val="auto"/>
        </w:rPr>
        <w:t>劳动安全与职业卫生</w:t>
      </w:r>
    </w:p>
    <w:p>
      <w:pPr>
        <w:pStyle w:val="32"/>
        <w:ind w:firstLine="480"/>
        <w:rPr>
          <w:color w:val="auto"/>
        </w:rPr>
      </w:pPr>
      <w:r>
        <w:rPr>
          <w:color w:val="auto"/>
        </w:rPr>
        <w:t>本章提出集中</w:t>
      </w:r>
      <w:r>
        <w:rPr>
          <w:rFonts w:hint="eastAsia"/>
          <w:color w:val="auto"/>
          <w:lang w:val="en-US" w:eastAsia="zh-CN"/>
        </w:rPr>
        <w:t>处理</w:t>
      </w:r>
      <w:r>
        <w:rPr>
          <w:color w:val="auto"/>
        </w:rPr>
        <w:t>处置工程运营过程中的人员劳动安全与职业卫生的</w:t>
      </w:r>
      <w:r>
        <w:rPr>
          <w:rFonts w:hint="eastAsia"/>
          <w:color w:val="auto"/>
        </w:rPr>
        <w:t>相关</w:t>
      </w:r>
      <w:r>
        <w:rPr>
          <w:color w:val="auto"/>
        </w:rPr>
        <w:t>要求。</w:t>
      </w:r>
    </w:p>
    <w:p>
      <w:pPr>
        <w:pStyle w:val="32"/>
        <w:ind w:firstLine="480"/>
        <w:rPr>
          <w:color w:val="auto"/>
        </w:rPr>
      </w:pPr>
      <w:r>
        <w:rPr>
          <w:color w:val="auto"/>
        </w:rPr>
        <w:t>第</w:t>
      </w:r>
      <w:r>
        <w:rPr>
          <w:rFonts w:hint="eastAsia"/>
          <w:color w:val="auto"/>
          <w:lang w:val="en-US" w:eastAsia="zh-CN"/>
        </w:rPr>
        <w:t>九</w:t>
      </w:r>
      <w:r>
        <w:rPr>
          <w:color w:val="auto"/>
        </w:rPr>
        <w:t>章：</w:t>
      </w:r>
      <w:r>
        <w:rPr>
          <w:rFonts w:hint="eastAsia"/>
          <w:color w:val="auto"/>
        </w:rPr>
        <w:t>运营管理</w:t>
      </w:r>
    </w:p>
    <w:p>
      <w:pPr>
        <w:pStyle w:val="32"/>
        <w:ind w:firstLine="480"/>
        <w:rPr>
          <w:color w:val="auto"/>
        </w:rPr>
      </w:pPr>
      <w:r>
        <w:rPr>
          <w:color w:val="auto"/>
        </w:rPr>
        <w:t>本章提出</w:t>
      </w:r>
      <w:r>
        <w:rPr>
          <w:rFonts w:hint="eastAsia"/>
          <w:color w:val="auto"/>
        </w:rPr>
        <w:t>集中</w:t>
      </w:r>
      <w:r>
        <w:rPr>
          <w:rFonts w:hint="eastAsia"/>
          <w:color w:val="auto"/>
          <w:lang w:val="en-US" w:eastAsia="zh-CN"/>
        </w:rPr>
        <w:t>处理</w:t>
      </w:r>
      <w:r>
        <w:rPr>
          <w:rFonts w:hint="eastAsia"/>
          <w:color w:val="auto"/>
        </w:rPr>
        <w:t>处置工程运行期间的一般规定、工程监测、应急管理等要求</w:t>
      </w:r>
      <w:r>
        <w:rPr>
          <w:color w:val="auto"/>
        </w:rPr>
        <w:t>。</w:t>
      </w:r>
    </w:p>
    <w:p>
      <w:pPr>
        <w:pStyle w:val="2"/>
        <w:rPr>
          <w:rFonts w:ascii="Times New Roman" w:hAnsi="Times New Roman" w:cs="Times New Roman"/>
          <w:color w:val="auto"/>
        </w:rPr>
      </w:pPr>
      <w:bookmarkStart w:id="32" w:name="_Toc29794"/>
      <w:r>
        <w:rPr>
          <w:rFonts w:hint="eastAsia" w:ascii="Times New Roman" w:hAnsi="Times New Roman" w:cs="Times New Roman"/>
          <w:color w:val="auto"/>
          <w:lang w:val="en-US" w:eastAsia="zh-CN"/>
        </w:rPr>
        <w:t>标准主要技术内容</w:t>
      </w:r>
      <w:bookmarkEnd w:id="32"/>
    </w:p>
    <w:p>
      <w:pPr>
        <w:pStyle w:val="3"/>
        <w:rPr>
          <w:rFonts w:cs="Times New Roman"/>
          <w:color w:val="auto"/>
        </w:rPr>
      </w:pPr>
      <w:bookmarkStart w:id="33" w:name="_Toc26519"/>
      <w:r>
        <w:rPr>
          <w:rFonts w:cs="Times New Roman"/>
          <w:color w:val="auto"/>
        </w:rPr>
        <w:t>范围</w:t>
      </w:r>
      <w:bookmarkEnd w:id="33"/>
    </w:p>
    <w:p>
      <w:pPr>
        <w:pStyle w:val="32"/>
        <w:ind w:firstLine="480"/>
        <w:rPr>
          <w:color w:val="auto"/>
        </w:rPr>
      </w:pPr>
      <w:r>
        <w:rPr>
          <w:color w:val="auto"/>
        </w:rPr>
        <w:t>标准第一章规定了标准的范围，其中：</w:t>
      </w:r>
    </w:p>
    <w:p>
      <w:pPr>
        <w:pStyle w:val="32"/>
        <w:ind w:firstLine="480"/>
        <w:rPr>
          <w:color w:val="auto"/>
        </w:rPr>
      </w:pPr>
      <w:r>
        <w:rPr>
          <w:color w:val="auto"/>
        </w:rPr>
        <w:t>标准第一章第一段阐述了标准规定内容和适用的管理环节。</w:t>
      </w:r>
    </w:p>
    <w:p>
      <w:pPr>
        <w:pStyle w:val="32"/>
        <w:ind w:firstLine="480"/>
        <w:rPr>
          <w:color w:val="auto"/>
        </w:rPr>
      </w:pPr>
      <w:r>
        <w:rPr>
          <w:rFonts w:hint="eastAsia"/>
          <w:color w:val="auto"/>
        </w:rPr>
        <w:t>本文件规定了</w:t>
      </w:r>
      <w:r>
        <w:rPr>
          <w:rFonts w:hint="eastAsia"/>
          <w:color w:val="auto"/>
          <w:lang w:eastAsia="zh-CN"/>
        </w:rPr>
        <w:t>医疗废物等离子体集中处理处置工程</w:t>
      </w:r>
      <w:r>
        <w:rPr>
          <w:rFonts w:hint="eastAsia"/>
          <w:color w:val="auto"/>
        </w:rPr>
        <w:t>的总体要求、工艺设计、</w:t>
      </w:r>
      <w:r>
        <w:rPr>
          <w:rFonts w:hint="eastAsia"/>
          <w:color w:val="auto"/>
          <w:lang w:val="en-US" w:eastAsia="zh-CN"/>
        </w:rPr>
        <w:t>环境管理要求</w:t>
      </w:r>
      <w:r>
        <w:rPr>
          <w:rFonts w:hint="eastAsia"/>
          <w:color w:val="auto"/>
        </w:rPr>
        <w:t>、辅助工程和配套设施、劳动安全与职业卫生</w:t>
      </w:r>
      <w:r>
        <w:rPr>
          <w:rFonts w:hint="eastAsia"/>
          <w:color w:val="auto"/>
          <w:lang w:val="en-US" w:eastAsia="zh-CN"/>
        </w:rPr>
        <w:t>和</w:t>
      </w:r>
      <w:r>
        <w:rPr>
          <w:rFonts w:hint="eastAsia"/>
          <w:color w:val="auto"/>
        </w:rPr>
        <w:t>运营管理。</w:t>
      </w:r>
    </w:p>
    <w:p>
      <w:pPr>
        <w:pStyle w:val="32"/>
        <w:ind w:firstLine="480"/>
        <w:rPr>
          <w:color w:val="auto"/>
        </w:rPr>
      </w:pPr>
      <w:r>
        <w:rPr>
          <w:color w:val="auto"/>
        </w:rPr>
        <w:t>标准第一章第二段阐述了标准适用的工程类型，以及在其他相关环节的指导意义。</w:t>
      </w:r>
    </w:p>
    <w:p>
      <w:pPr>
        <w:pStyle w:val="32"/>
        <w:ind w:firstLine="480"/>
        <w:rPr>
          <w:rFonts w:hint="eastAsia"/>
          <w:color w:val="auto"/>
        </w:rPr>
      </w:pPr>
      <w:r>
        <w:rPr>
          <w:rFonts w:hint="eastAsia"/>
          <w:color w:val="auto"/>
        </w:rPr>
        <w:t>本文件适用于医疗废物等离子体集中</w:t>
      </w:r>
      <w:r>
        <w:rPr>
          <w:rFonts w:hint="eastAsia"/>
          <w:color w:val="auto"/>
          <w:lang w:val="en-US" w:eastAsia="zh-CN"/>
        </w:rPr>
        <w:t>处理</w:t>
      </w:r>
      <w:r>
        <w:rPr>
          <w:rFonts w:hint="eastAsia"/>
          <w:color w:val="auto"/>
        </w:rPr>
        <w:t>处置设施新建、改建和扩建工程的设计</w:t>
      </w:r>
      <w:r>
        <w:rPr>
          <w:rFonts w:hint="eastAsia"/>
          <w:color w:val="auto"/>
          <w:lang w:eastAsia="zh-CN"/>
        </w:rPr>
        <w:t>，</w:t>
      </w:r>
      <w:r>
        <w:rPr>
          <w:rFonts w:hint="eastAsia"/>
          <w:color w:val="auto"/>
        </w:rPr>
        <w:t>环境影响评价、全过程污染控制及环境管理。</w:t>
      </w:r>
    </w:p>
    <w:p>
      <w:pPr>
        <w:pStyle w:val="32"/>
        <w:ind w:firstLine="480"/>
        <w:rPr>
          <w:rFonts w:hint="default" w:eastAsia="宋体"/>
          <w:color w:val="auto"/>
          <w:lang w:val="en-US" w:eastAsia="zh-CN"/>
        </w:rPr>
      </w:pPr>
      <w:r>
        <w:rPr>
          <w:rFonts w:hint="default" w:eastAsia="宋体"/>
          <w:color w:val="auto"/>
          <w:lang w:val="en-US" w:eastAsia="zh-CN"/>
        </w:rPr>
        <w:t>本文件适用于医疗废物等离子体气化熔融集中处理处置，等离子体气化、等离子体焚烧、等离子体热解除熔融处理产物的利用技术要求外可参照本文件执行。</w:t>
      </w:r>
    </w:p>
    <w:p>
      <w:pPr>
        <w:pStyle w:val="3"/>
        <w:rPr>
          <w:rFonts w:cs="Times New Roman"/>
          <w:color w:val="auto"/>
        </w:rPr>
      </w:pPr>
      <w:bookmarkStart w:id="34" w:name="_Toc19910"/>
      <w:r>
        <w:rPr>
          <w:rFonts w:cs="Times New Roman"/>
          <w:color w:val="auto"/>
        </w:rPr>
        <w:t>规范性引用文件</w:t>
      </w:r>
      <w:bookmarkEnd w:id="34"/>
    </w:p>
    <w:p>
      <w:pPr>
        <w:pStyle w:val="32"/>
        <w:ind w:firstLine="480"/>
        <w:rPr>
          <w:color w:val="auto"/>
        </w:rPr>
      </w:pPr>
      <w:r>
        <w:rPr>
          <w:color w:val="auto"/>
        </w:rPr>
        <w:t>标准第二章阐述了标准中引用的有关文件，共计</w:t>
      </w:r>
      <w:r>
        <w:rPr>
          <w:rFonts w:hint="eastAsia"/>
          <w:color w:val="auto"/>
          <w:lang w:val="en-US" w:eastAsia="zh-CN"/>
        </w:rPr>
        <w:t>45</w:t>
      </w:r>
      <w:r>
        <w:rPr>
          <w:color w:val="auto"/>
        </w:rPr>
        <w:t>项，涉及与医疗废物处置工程相关的工艺设计、工程建设施工、安全防护、污染物排放限制、运营环境管理等内容，以上内容作为本标准编制的</w:t>
      </w:r>
      <w:r>
        <w:rPr>
          <w:rFonts w:hint="eastAsia"/>
          <w:color w:val="auto"/>
          <w:lang w:val="en-US" w:eastAsia="zh-CN"/>
        </w:rPr>
        <w:t>参考</w:t>
      </w:r>
      <w:r>
        <w:rPr>
          <w:color w:val="auto"/>
        </w:rPr>
        <w:t>依据。</w:t>
      </w:r>
    </w:p>
    <w:p>
      <w:pPr>
        <w:pStyle w:val="3"/>
        <w:rPr>
          <w:rFonts w:cs="Times New Roman"/>
          <w:color w:val="auto"/>
        </w:rPr>
      </w:pPr>
      <w:bookmarkStart w:id="35" w:name="_Toc30465"/>
      <w:r>
        <w:rPr>
          <w:rFonts w:cs="Times New Roman"/>
          <w:color w:val="auto"/>
        </w:rPr>
        <w:t>术语和定义</w:t>
      </w:r>
      <w:bookmarkEnd w:id="35"/>
    </w:p>
    <w:p>
      <w:pPr>
        <w:pStyle w:val="32"/>
        <w:ind w:firstLine="480"/>
        <w:rPr>
          <w:color w:val="auto"/>
        </w:rPr>
      </w:pPr>
      <w:r>
        <w:rPr>
          <w:color w:val="auto"/>
        </w:rPr>
        <w:t>标准第三章对标准中的术语进行了定义，以便于对规范条文的理解。术语共计</w:t>
      </w:r>
      <w:r>
        <w:rPr>
          <w:rFonts w:hint="eastAsia"/>
          <w:color w:val="auto"/>
          <w:lang w:val="en-US" w:eastAsia="zh-CN"/>
        </w:rPr>
        <w:t>9</w:t>
      </w:r>
      <w:r>
        <w:rPr>
          <w:color w:val="auto"/>
        </w:rPr>
        <w:t>项，包括医疗废物、等离子体、等离子体</w:t>
      </w:r>
      <w:r>
        <w:rPr>
          <w:rFonts w:hint="eastAsia"/>
          <w:color w:val="auto"/>
        </w:rPr>
        <w:t>发生器</w:t>
      </w:r>
      <w:r>
        <w:rPr>
          <w:color w:val="auto"/>
        </w:rPr>
        <w:t>、等离子体</w:t>
      </w:r>
      <w:r>
        <w:rPr>
          <w:rFonts w:hint="eastAsia"/>
          <w:color w:val="auto"/>
        </w:rPr>
        <w:t>加热</w:t>
      </w:r>
      <w:r>
        <w:rPr>
          <w:color w:val="auto"/>
        </w:rPr>
        <w:t>、等离子体</w:t>
      </w:r>
      <w:r>
        <w:rPr>
          <w:rFonts w:hint="eastAsia"/>
          <w:color w:val="auto"/>
          <w:lang w:val="en-US" w:eastAsia="zh-CN"/>
        </w:rPr>
        <w:t>集中处理</w:t>
      </w:r>
      <w:r>
        <w:rPr>
          <w:color w:val="auto"/>
        </w:rPr>
        <w:t>处置、</w:t>
      </w:r>
      <w:r>
        <w:rPr>
          <w:rFonts w:hint="eastAsia"/>
          <w:color w:val="auto"/>
        </w:rPr>
        <w:t>等离子体</w:t>
      </w:r>
      <w:r>
        <w:rPr>
          <w:rFonts w:hint="eastAsia"/>
          <w:color w:val="auto"/>
          <w:lang w:val="en-US" w:eastAsia="zh-CN"/>
        </w:rPr>
        <w:t>熔融</w:t>
      </w:r>
      <w:r>
        <w:rPr>
          <w:rFonts w:hint="eastAsia"/>
          <w:color w:val="auto"/>
        </w:rPr>
        <w:t>、</w:t>
      </w:r>
      <w:r>
        <w:rPr>
          <w:rFonts w:hint="eastAsia"/>
          <w:color w:val="auto"/>
          <w:lang w:val="en-US" w:eastAsia="zh-CN"/>
        </w:rPr>
        <w:t>熔融处理产物、</w:t>
      </w:r>
      <w:r>
        <w:rPr>
          <w:rFonts w:hint="eastAsia"/>
          <w:color w:val="auto"/>
        </w:rPr>
        <w:t>等离子体重整、</w:t>
      </w:r>
      <w:r>
        <w:rPr>
          <w:color w:val="auto"/>
        </w:rPr>
        <w:t>气化炉。</w:t>
      </w:r>
    </w:p>
    <w:p>
      <w:pPr>
        <w:pStyle w:val="32"/>
        <w:ind w:firstLine="480"/>
        <w:rPr>
          <w:color w:val="auto"/>
        </w:rPr>
      </w:pPr>
      <w:r>
        <w:rPr>
          <w:color w:val="auto"/>
        </w:rPr>
        <w:t>其中重点对等离子体技术相关的术语进行了定义和说明，阐述医疗废物等离子体</w:t>
      </w:r>
      <w:r>
        <w:rPr>
          <w:rFonts w:hint="eastAsia"/>
          <w:color w:val="auto"/>
          <w:lang w:val="en-US" w:eastAsia="zh-CN"/>
        </w:rPr>
        <w:t>处理</w:t>
      </w:r>
      <w:r>
        <w:rPr>
          <w:color w:val="auto"/>
        </w:rPr>
        <w:t>处置技术与现有常用医疗废物处理处置技术在概念、原理、设备及设施方面的差异和先进性。</w:t>
      </w:r>
      <w:r>
        <w:rPr>
          <w:rFonts w:hint="eastAsia"/>
          <w:color w:val="auto"/>
        </w:rPr>
        <w:t>参考GB</w:t>
      </w:r>
      <w:r>
        <w:rPr>
          <w:color w:val="auto"/>
        </w:rPr>
        <w:t xml:space="preserve"> </w:t>
      </w:r>
      <w:r>
        <w:rPr>
          <w:rFonts w:hint="eastAsia"/>
          <w:color w:val="auto"/>
        </w:rPr>
        <w:t>39707和GB</w:t>
      </w:r>
      <w:r>
        <w:rPr>
          <w:color w:val="auto"/>
        </w:rPr>
        <w:t>/</w:t>
      </w:r>
      <w:r>
        <w:rPr>
          <w:rFonts w:hint="eastAsia"/>
          <w:color w:val="auto"/>
        </w:rPr>
        <w:t>T</w:t>
      </w:r>
      <w:r>
        <w:rPr>
          <w:color w:val="auto"/>
        </w:rPr>
        <w:t xml:space="preserve"> 2900.23</w:t>
      </w:r>
      <w:r>
        <w:rPr>
          <w:rFonts w:hint="eastAsia"/>
          <w:color w:val="auto"/>
        </w:rPr>
        <w:t>、《等离子体处理危险废物技术与评价要求》（报批稿）等相关标准</w:t>
      </w:r>
      <w:r>
        <w:rPr>
          <w:color w:val="auto"/>
        </w:rPr>
        <w:t>并做出相应调整和更新。</w:t>
      </w:r>
    </w:p>
    <w:p>
      <w:pPr>
        <w:pStyle w:val="3"/>
        <w:rPr>
          <w:rFonts w:cs="Times New Roman"/>
          <w:color w:val="auto"/>
        </w:rPr>
      </w:pPr>
      <w:bookmarkStart w:id="36" w:name="_Toc126078608"/>
      <w:bookmarkEnd w:id="36"/>
      <w:bookmarkStart w:id="37" w:name="_Toc126078612"/>
      <w:bookmarkEnd w:id="37"/>
      <w:bookmarkStart w:id="38" w:name="_Toc126078613"/>
      <w:bookmarkEnd w:id="38"/>
      <w:bookmarkStart w:id="39" w:name="_Toc126078611"/>
      <w:bookmarkEnd w:id="39"/>
      <w:bookmarkStart w:id="40" w:name="_Toc126078607"/>
      <w:bookmarkEnd w:id="40"/>
      <w:bookmarkStart w:id="41" w:name="_Toc126078614"/>
      <w:bookmarkEnd w:id="41"/>
      <w:bookmarkStart w:id="42" w:name="_Toc126078609"/>
      <w:bookmarkEnd w:id="42"/>
      <w:bookmarkStart w:id="43" w:name="_Toc126078610"/>
      <w:bookmarkEnd w:id="43"/>
      <w:bookmarkStart w:id="44" w:name="_Toc22118"/>
      <w:r>
        <w:rPr>
          <w:rFonts w:cs="Times New Roman"/>
          <w:color w:val="auto"/>
        </w:rPr>
        <w:t>总体</w:t>
      </w:r>
      <w:r>
        <w:rPr>
          <w:rFonts w:hint="eastAsia" w:cs="Times New Roman"/>
          <w:color w:val="auto"/>
        </w:rPr>
        <w:t>要求</w:t>
      </w:r>
      <w:bookmarkEnd w:id="44"/>
    </w:p>
    <w:p>
      <w:pPr>
        <w:pStyle w:val="32"/>
        <w:ind w:firstLine="480"/>
        <w:rPr>
          <w:color w:val="auto"/>
        </w:rPr>
      </w:pPr>
      <w:r>
        <w:rPr>
          <w:color w:val="auto"/>
        </w:rPr>
        <w:t>标准第</w:t>
      </w:r>
      <w:r>
        <w:rPr>
          <w:rFonts w:hint="eastAsia"/>
          <w:color w:val="auto"/>
        </w:rPr>
        <w:t>四</w:t>
      </w:r>
      <w:r>
        <w:rPr>
          <w:color w:val="auto"/>
        </w:rPr>
        <w:t>章提出</w:t>
      </w:r>
      <w:r>
        <w:rPr>
          <w:rFonts w:hint="eastAsia"/>
          <w:color w:val="auto"/>
          <w:lang w:eastAsia="zh-CN"/>
        </w:rPr>
        <w:t>医疗废物等离子体集中处理处置工程</w:t>
      </w:r>
      <w:r>
        <w:rPr>
          <w:color w:val="auto"/>
        </w:rPr>
        <w:t>的</w:t>
      </w:r>
      <w:r>
        <w:rPr>
          <w:rFonts w:hint="eastAsia"/>
          <w:color w:val="auto"/>
        </w:rPr>
        <w:t>一般规定、</w:t>
      </w:r>
      <w:r>
        <w:rPr>
          <w:rFonts w:hint="eastAsia"/>
          <w:color w:val="auto"/>
          <w:lang w:val="en-US" w:eastAsia="zh-CN"/>
        </w:rPr>
        <w:t>选址要求</w:t>
      </w:r>
      <w:r>
        <w:rPr>
          <w:color w:val="auto"/>
        </w:rPr>
        <w:t>、总平面布置等通用性要求。</w:t>
      </w:r>
    </w:p>
    <w:p>
      <w:pPr>
        <w:pStyle w:val="32"/>
        <w:ind w:firstLine="480"/>
        <w:rPr>
          <w:color w:val="auto"/>
        </w:rPr>
      </w:pPr>
      <w:r>
        <w:rPr>
          <w:rFonts w:hint="eastAsia"/>
          <w:color w:val="auto"/>
        </w:rPr>
        <w:t>标准条文</w:t>
      </w:r>
      <w:r>
        <w:rPr>
          <w:color w:val="auto"/>
        </w:rPr>
        <w:t>4.1</w:t>
      </w:r>
      <w:r>
        <w:rPr>
          <w:rFonts w:hint="eastAsia"/>
          <w:color w:val="auto"/>
        </w:rPr>
        <w:t>规定了</w:t>
      </w:r>
      <w:r>
        <w:rPr>
          <w:rFonts w:hint="eastAsia"/>
          <w:color w:val="auto"/>
          <w:lang w:eastAsia="zh-CN"/>
        </w:rPr>
        <w:t>医疗废物等离子体集中处理处置工程</w:t>
      </w:r>
      <w:r>
        <w:rPr>
          <w:rFonts w:hint="eastAsia"/>
          <w:color w:val="auto"/>
        </w:rPr>
        <w:t>的一般规定。</w:t>
      </w:r>
    </w:p>
    <w:p>
      <w:pPr>
        <w:pStyle w:val="32"/>
        <w:ind w:firstLine="480"/>
        <w:rPr>
          <w:color w:val="auto"/>
        </w:rPr>
      </w:pPr>
      <w:r>
        <w:rPr>
          <w:rFonts w:hint="eastAsia"/>
          <w:color w:val="auto"/>
        </w:rPr>
        <w:t>从技术角度</w:t>
      </w:r>
      <w:r>
        <w:rPr>
          <w:color w:val="auto"/>
          <w:lang w:val="zh-CN"/>
        </w:rPr>
        <w:t>等离子</w:t>
      </w:r>
      <w:r>
        <w:rPr>
          <w:rFonts w:hint="eastAsia"/>
          <w:color w:val="auto"/>
          <w:lang w:val="zh-CN"/>
        </w:rPr>
        <w:t>体</w:t>
      </w:r>
      <w:r>
        <w:rPr>
          <w:color w:val="auto"/>
          <w:lang w:val="zh-CN"/>
        </w:rPr>
        <w:t>系统可以处理和焚化炉同等类型的废物</w:t>
      </w:r>
      <w:r>
        <w:rPr>
          <w:rFonts w:hint="eastAsia"/>
          <w:color w:val="auto"/>
          <w:lang w:val="zh-CN"/>
        </w:rPr>
        <w:t>，包括《医疗废物分类目录》中的全五类医疗废物以及疫情期间集中医学隔离点、核酸检测点等非医疗机构产生的涉疫废物，</w:t>
      </w:r>
      <w:r>
        <w:rPr>
          <w:rFonts w:hint="eastAsia"/>
          <w:color w:val="auto"/>
          <w:lang w:val="en-US" w:eastAsia="zh-CN"/>
        </w:rPr>
        <w:t>在标准正文中不做重复说明</w:t>
      </w:r>
      <w:r>
        <w:rPr>
          <w:rFonts w:hint="eastAsia"/>
          <w:color w:val="auto"/>
          <w:lang w:val="zh-CN"/>
        </w:rPr>
        <w:t>。根据2022年5月江苏省新发布的《</w:t>
      </w:r>
      <w:r>
        <w:rPr>
          <w:color w:val="auto"/>
          <w:lang w:val="zh-CN"/>
        </w:rPr>
        <w:t>医疗机构污泥处理技术规范</w:t>
      </w:r>
      <w:r>
        <w:rPr>
          <w:rFonts w:hint="eastAsia"/>
          <w:color w:val="auto"/>
          <w:lang w:val="zh-CN"/>
        </w:rPr>
        <w:t>》（</w:t>
      </w:r>
      <w:r>
        <w:rPr>
          <w:color w:val="auto"/>
          <w:lang w:val="zh-CN"/>
        </w:rPr>
        <w:t>DB 32/T 4269-2022</w:t>
      </w:r>
      <w:r>
        <w:rPr>
          <w:rFonts w:hint="eastAsia"/>
          <w:color w:val="auto"/>
          <w:lang w:val="zh-CN"/>
        </w:rPr>
        <w:t>）中的条款“5.5</w:t>
      </w:r>
      <w:r>
        <w:rPr>
          <w:color w:val="auto"/>
          <w:lang w:val="zh-CN"/>
        </w:rPr>
        <w:t xml:space="preserve"> </w:t>
      </w:r>
      <w:r>
        <w:rPr>
          <w:rFonts w:hint="eastAsia"/>
          <w:color w:val="auto"/>
          <w:lang w:val="zh-CN"/>
        </w:rPr>
        <w:t>最终处置 污泥根据国家环境总局危险废物分类，属于危险废物的范畴，必须按医疗废物处理要求进行集中（焚烧）处置”，本标准条文4.1.</w:t>
      </w:r>
      <w:r>
        <w:rPr>
          <w:rFonts w:hint="eastAsia"/>
          <w:color w:val="auto"/>
          <w:lang w:val="en-US" w:eastAsia="zh-CN"/>
        </w:rPr>
        <w:t>4</w:t>
      </w:r>
      <w:r>
        <w:rPr>
          <w:rFonts w:hint="eastAsia"/>
          <w:color w:val="auto"/>
          <w:lang w:val="zh-CN"/>
        </w:rPr>
        <w:t>规定</w:t>
      </w:r>
      <w:r>
        <w:rPr>
          <w:rFonts w:hint="eastAsia"/>
          <w:color w:val="auto"/>
          <w:lang w:val="zh-CN" w:eastAsia="zh-CN"/>
        </w:rPr>
        <w:t>集中处理处置工程可处理</w:t>
      </w:r>
      <w:r>
        <w:rPr>
          <w:rFonts w:hint="eastAsia"/>
          <w:color w:val="auto"/>
          <w:lang w:val="zh-CN"/>
        </w:rPr>
        <w:t>医疗机构污泥，污泥脱水、贮存、运输过程应符合DB32/T 4269的要求。</w:t>
      </w:r>
    </w:p>
    <w:p>
      <w:pPr>
        <w:pStyle w:val="32"/>
        <w:ind w:firstLine="480"/>
        <w:rPr>
          <w:rFonts w:hint="eastAsia"/>
          <w:color w:val="auto"/>
          <w:lang w:val="en-US" w:eastAsia="zh-CN"/>
        </w:rPr>
      </w:pPr>
      <w:r>
        <w:rPr>
          <w:color w:val="auto"/>
        </w:rPr>
        <w:t>标准条文</w:t>
      </w:r>
      <w:r>
        <w:rPr>
          <w:rFonts w:hint="eastAsia"/>
          <w:color w:val="auto"/>
        </w:rPr>
        <w:t>4.2</w:t>
      </w:r>
      <w:r>
        <w:rPr>
          <w:color w:val="auto"/>
        </w:rPr>
        <w:t>规定了</w:t>
      </w:r>
      <w:r>
        <w:rPr>
          <w:rFonts w:hint="eastAsia"/>
          <w:color w:val="auto"/>
          <w:lang w:eastAsia="zh-CN"/>
        </w:rPr>
        <w:t>医疗废物等离子体集中处理处置工程</w:t>
      </w:r>
      <w:r>
        <w:rPr>
          <w:color w:val="auto"/>
        </w:rPr>
        <w:t>的</w:t>
      </w:r>
      <w:r>
        <w:rPr>
          <w:rFonts w:hint="eastAsia"/>
          <w:color w:val="auto"/>
          <w:lang w:val="en-US" w:eastAsia="zh-CN"/>
        </w:rPr>
        <w:t>选址</w:t>
      </w:r>
      <w:r>
        <w:rPr>
          <w:color w:val="auto"/>
        </w:rPr>
        <w:t>要求。</w:t>
      </w:r>
      <w:r>
        <w:rPr>
          <w:rFonts w:hint="eastAsia"/>
          <w:color w:val="auto"/>
        </w:rPr>
        <w:t>我国现行的医疗废物相关法规及标准中，对厂址选择的规定略有差异。根据《医疗废物集中处置技术规范（试行）》（环发[</w:t>
      </w:r>
      <w:r>
        <w:rPr>
          <w:color w:val="auto"/>
        </w:rPr>
        <w:t>2003]206</w:t>
      </w:r>
      <w:r>
        <w:rPr>
          <w:rFonts w:hint="eastAsia"/>
          <w:color w:val="auto"/>
        </w:rPr>
        <w:t>号）对医疗废物高温热处置的选址规定，“应遵守《医疗废物管理条例》第24条规定，远离居（村）民区、交通干道，要求处置厂厂界与上述区域和类似区域边界的距离大于800m。”而《医疗废物管理条例》的规定为“医疗废物集中处置单位的贮存、处置设施，应当远离居（村）民居住区、水源保护区和交通干道，与工厂、企业等工作场所有适当的安全防护距离，并符合国务院环境保护行政主管部门的规定”，未提及800m的安全距离要求。在《危险废物集中焚烧处置工程建设技术规范》（HJ</w:t>
      </w:r>
      <w:r>
        <w:rPr>
          <w:color w:val="auto"/>
        </w:rPr>
        <w:t>/</w:t>
      </w:r>
      <w:r>
        <w:rPr>
          <w:rFonts w:hint="eastAsia"/>
          <w:color w:val="auto"/>
        </w:rPr>
        <w:t>T</w:t>
      </w:r>
      <w:r>
        <w:rPr>
          <w:color w:val="auto"/>
        </w:rPr>
        <w:t xml:space="preserve"> 176</w:t>
      </w:r>
      <w:r>
        <w:rPr>
          <w:rFonts w:hint="eastAsia"/>
          <w:color w:val="auto"/>
        </w:rPr>
        <w:t>）中，要求“焚烧厂内危险废物处理设施距离主要居民区以及学校、医院等公共设施的距离不小于800米”。直到最新的《医疗废物处理处置污染控制标准》（GB</w:t>
      </w:r>
      <w:r>
        <w:rPr>
          <w:color w:val="auto"/>
        </w:rPr>
        <w:t xml:space="preserve"> </w:t>
      </w:r>
      <w:r>
        <w:rPr>
          <w:rFonts w:hint="eastAsia"/>
          <w:color w:val="auto"/>
        </w:rPr>
        <w:t>39707）于2021年7月1日正式实施，对医疗废物处理处置设施的厂址选择有了较为清晰明确的规定，针对防护距离的要求为“处理处置设施</w:t>
      </w:r>
      <w:r>
        <w:rPr>
          <w:color w:val="auto"/>
        </w:rPr>
        <w:t>厂址应与敏感目标之间设置一定的防护距离，防护距离应根据厂址条件、</w:t>
      </w:r>
      <w:r>
        <w:rPr>
          <w:rFonts w:hint="eastAsia"/>
          <w:color w:val="auto"/>
        </w:rPr>
        <w:t>处理</w:t>
      </w:r>
      <w:r>
        <w:rPr>
          <w:color w:val="auto"/>
        </w:rPr>
        <w:t>处置技术工艺、污染物排放特征及其扩散因素等综合确定，并应满足环境影响评价文件及审批意见要求</w:t>
      </w:r>
      <w:r>
        <w:rPr>
          <w:rFonts w:hint="eastAsia"/>
          <w:color w:val="auto"/>
        </w:rPr>
        <w:t>”，故本条文</w:t>
      </w:r>
      <w:r>
        <w:rPr>
          <w:rFonts w:hint="eastAsia"/>
          <w:color w:val="auto"/>
          <w:lang w:val="en-US" w:eastAsia="zh-CN"/>
        </w:rPr>
        <w:t>规定如下：</w:t>
      </w:r>
    </w:p>
    <w:p>
      <w:pPr>
        <w:pStyle w:val="32"/>
        <w:ind w:firstLine="480"/>
        <w:rPr>
          <w:rFonts w:hint="eastAsia"/>
          <w:color w:val="auto"/>
          <w:lang w:val="en-US" w:eastAsia="zh-CN"/>
        </w:rPr>
      </w:pPr>
      <w:r>
        <w:rPr>
          <w:rFonts w:hint="eastAsia"/>
          <w:color w:val="auto"/>
          <w:lang w:val="en-US" w:eastAsia="zh-CN"/>
        </w:rPr>
        <w:t>4.2.1 医疗废物等离子体集中处理处置工程选址应符合生态环境保护法律法规及相关法定规划要求，并应综合考虑设施服务区域、交通运输、地质环境等基本要素，确保设施处于长期相对稳定的环境。</w:t>
      </w:r>
    </w:p>
    <w:p>
      <w:pPr>
        <w:pStyle w:val="32"/>
        <w:ind w:firstLine="480"/>
        <w:rPr>
          <w:rFonts w:hint="eastAsia"/>
          <w:color w:val="auto"/>
          <w:lang w:val="en-US" w:eastAsia="zh-CN"/>
        </w:rPr>
      </w:pPr>
      <w:r>
        <w:rPr>
          <w:rFonts w:hint="eastAsia"/>
          <w:color w:val="auto"/>
          <w:lang w:val="en-US" w:eastAsia="zh-CN"/>
        </w:rPr>
        <w:t>4.2.2 集中处理处置工程选址不应位于国务院和国务院有关主管部门及省、自治区、直辖市人民政府划定的生态保护红线区域、永久基本农田集中区域和其他需要特别保护的区域内。</w:t>
      </w:r>
    </w:p>
    <w:p>
      <w:pPr>
        <w:pStyle w:val="32"/>
        <w:ind w:firstLine="480"/>
        <w:rPr>
          <w:color w:val="auto"/>
        </w:rPr>
      </w:pPr>
      <w:r>
        <w:rPr>
          <w:rFonts w:hint="eastAsia"/>
          <w:color w:val="auto"/>
          <w:lang w:val="en-US" w:eastAsia="zh-CN"/>
        </w:rPr>
        <w:t>4.2.3 集中处理处置工程厂址应与敏感目标之间设置一定的防护距离，防护距离应根据厂址条件、处理处置技术工艺、污染物排放特征及其扩散因素等综合确定，并应满足环境影响评价文件及审批意见要求”</w:t>
      </w:r>
      <w:r>
        <w:rPr>
          <w:rFonts w:hint="eastAsia"/>
          <w:color w:val="auto"/>
        </w:rPr>
        <w:t>。</w:t>
      </w:r>
    </w:p>
    <w:p>
      <w:pPr>
        <w:pStyle w:val="32"/>
        <w:ind w:firstLine="480"/>
        <w:rPr>
          <w:color w:val="auto"/>
        </w:rPr>
      </w:pPr>
      <w:r>
        <w:rPr>
          <w:color w:val="auto"/>
        </w:rPr>
        <w:t>根据统计数据，以大中城市为样本，2014-2019年</w:t>
      </w:r>
      <w:r>
        <w:rPr>
          <w:rFonts w:hint="eastAsia"/>
          <w:color w:val="auto"/>
        </w:rPr>
        <w:t>我国</w:t>
      </w:r>
      <w:r>
        <w:rPr>
          <w:color w:val="auto"/>
        </w:rPr>
        <w:t>医疗废物产生量复合增速为6.3%</w:t>
      </w:r>
      <w:r>
        <w:rPr>
          <w:rFonts w:hint="eastAsia"/>
          <w:color w:val="auto"/>
        </w:rPr>
        <w:t>，2019年的新冠病毒疫情爆发更是造成医疗废物产量激增。因此，</w:t>
      </w:r>
      <w:r>
        <w:rPr>
          <w:rFonts w:hint="eastAsia"/>
          <w:color w:val="auto"/>
          <w:lang w:eastAsia="zh-CN"/>
        </w:rPr>
        <w:t>医疗废物等离子体集中处理处置工程</w:t>
      </w:r>
      <w:r>
        <w:rPr>
          <w:color w:val="auto"/>
        </w:rPr>
        <w:t>的建设规模应根据服务区域内医疗废物产生量、成分特点、变化趋势、收运体系、技术工艺等因素综合确定，并应根据处置规模合理确定生产线数量和单线处置能力。设计处理规模应保留一定的设计裕量，同时考虑重大传染病疫情期间的应急处置需求。</w:t>
      </w:r>
      <w:r>
        <w:rPr>
          <w:rFonts w:hint="eastAsia"/>
          <w:color w:val="auto"/>
        </w:rPr>
        <w:t>对于医疗废物的产生量的确定可以通过对服务区域内可收集和处置的废物实际重量进行统计与核定，当无法获得实际产生量时可以通过床位产废量、门诊产废量等进行估算，在修订版的《</w:t>
      </w:r>
      <w:r>
        <w:rPr>
          <w:color w:val="auto"/>
        </w:rPr>
        <w:t>医疗废物高温蒸汽消毒集中处理工程技术规范</w:t>
      </w:r>
      <w:r>
        <w:rPr>
          <w:rFonts w:hint="eastAsia"/>
          <w:color w:val="auto"/>
        </w:rPr>
        <w:t>》（</w:t>
      </w:r>
      <w:r>
        <w:rPr>
          <w:color w:val="auto"/>
        </w:rPr>
        <w:t>HJ 276-2021</w:t>
      </w:r>
      <w:r>
        <w:rPr>
          <w:rFonts w:hint="eastAsia"/>
          <w:color w:val="auto"/>
        </w:rPr>
        <w:t>）、《</w:t>
      </w:r>
      <w:r>
        <w:rPr>
          <w:color w:val="auto"/>
        </w:rPr>
        <w:t>医疗废物化学消毒集中处理工程技术规范</w:t>
      </w:r>
      <w:r>
        <w:rPr>
          <w:rFonts w:hint="eastAsia"/>
          <w:color w:val="auto"/>
        </w:rPr>
        <w:t>》（</w:t>
      </w:r>
      <w:r>
        <w:rPr>
          <w:color w:val="auto"/>
        </w:rPr>
        <w:t>HJ 228-2021</w:t>
      </w:r>
      <w:r>
        <w:rPr>
          <w:rFonts w:hint="eastAsia"/>
          <w:color w:val="auto"/>
        </w:rPr>
        <w:t>）、《</w:t>
      </w:r>
      <w:r>
        <w:rPr>
          <w:color w:val="auto"/>
        </w:rPr>
        <w:t>医疗废物微波消毒集中处理工程技术规范</w:t>
      </w:r>
      <w:r>
        <w:rPr>
          <w:rFonts w:hint="eastAsia"/>
          <w:color w:val="auto"/>
        </w:rPr>
        <w:t>》（</w:t>
      </w:r>
      <w:r>
        <w:rPr>
          <w:color w:val="auto"/>
        </w:rPr>
        <w:t>HJ 229-2021</w:t>
      </w:r>
      <w:r>
        <w:rPr>
          <w:rFonts w:hint="eastAsia"/>
          <w:color w:val="auto"/>
        </w:rPr>
        <w:t>）附录中均有参考。</w:t>
      </w:r>
    </w:p>
    <w:p>
      <w:pPr>
        <w:pStyle w:val="32"/>
        <w:ind w:firstLine="480"/>
        <w:rPr>
          <w:rFonts w:hint="default" w:eastAsia="宋体"/>
          <w:color w:val="auto"/>
          <w:lang w:val="en-US" w:eastAsia="zh-CN"/>
        </w:rPr>
      </w:pPr>
      <w:r>
        <w:rPr>
          <w:color w:val="auto"/>
        </w:rPr>
        <w:t>标准条文</w:t>
      </w:r>
      <w:r>
        <w:rPr>
          <w:rFonts w:hint="eastAsia"/>
          <w:color w:val="auto"/>
        </w:rPr>
        <w:t>4.</w:t>
      </w:r>
      <w:r>
        <w:rPr>
          <w:rFonts w:hint="eastAsia"/>
          <w:color w:val="auto"/>
          <w:lang w:val="en-US" w:eastAsia="zh-CN"/>
        </w:rPr>
        <w:t>3</w:t>
      </w:r>
      <w:r>
        <w:rPr>
          <w:rFonts w:hint="eastAsia"/>
          <w:color w:val="auto"/>
        </w:rPr>
        <w:t>规定了</w:t>
      </w:r>
      <w:r>
        <w:rPr>
          <w:rFonts w:hint="eastAsia"/>
          <w:color w:val="auto"/>
          <w:lang w:eastAsia="zh-CN"/>
        </w:rPr>
        <w:t>医疗废物等离子体集中处理处置工程</w:t>
      </w:r>
      <w:r>
        <w:rPr>
          <w:color w:val="auto"/>
        </w:rPr>
        <w:t>的总平面布置</w:t>
      </w:r>
      <w:r>
        <w:rPr>
          <w:rFonts w:hint="eastAsia"/>
          <w:color w:val="auto"/>
        </w:rPr>
        <w:t>的通用性要求，</w:t>
      </w:r>
      <w:r>
        <w:rPr>
          <w:rFonts w:hint="eastAsia"/>
          <w:color w:val="auto"/>
          <w:lang w:val="en-US" w:eastAsia="zh-CN"/>
        </w:rPr>
        <w:t>应符合《</w:t>
      </w:r>
      <w:r>
        <w:rPr>
          <w:rFonts w:hint="eastAsia"/>
          <w:color w:val="auto"/>
        </w:rPr>
        <w:t>工业企业总平面设计规范</w:t>
      </w:r>
      <w:r>
        <w:rPr>
          <w:rFonts w:hint="eastAsia"/>
          <w:color w:val="auto"/>
          <w:lang w:val="en-US" w:eastAsia="zh-CN"/>
        </w:rPr>
        <w:t>》（GB 50187）的相关要求，</w:t>
      </w:r>
      <w:r>
        <w:rPr>
          <w:rFonts w:hint="eastAsia"/>
          <w:color w:val="auto"/>
        </w:rPr>
        <w:t>应按照生产和办公生活的功能分区设置，合理设置隔离区。从医废处置的整体工艺流程来看，医废入厂后至入炉处置前污染和暴露的风险较大，按照生产和生活的功能分区设置、合理划分污染区和非污染区非常有必要。医废和物料的运输、厂内转运是医废处置过程中的重要环节，要求</w:t>
      </w:r>
      <w:r>
        <w:rPr>
          <w:rFonts w:hint="eastAsia"/>
          <w:color w:val="auto"/>
          <w:lang w:eastAsia="zh-CN"/>
        </w:rPr>
        <w:t>集中处理处置工程</w:t>
      </w:r>
      <w:r>
        <w:rPr>
          <w:rFonts w:hint="eastAsia"/>
          <w:color w:val="auto"/>
        </w:rPr>
        <w:t>人流和物流的出、入口分开设置，并应便利医疗废物及其它物料运输车辆的进出。</w:t>
      </w:r>
      <w:r>
        <w:rPr>
          <w:rFonts w:hint="eastAsia"/>
          <w:color w:val="auto"/>
          <w:lang w:val="en-US" w:eastAsia="zh-CN"/>
        </w:rPr>
        <w:t>根据实际工程需要建议集中处理处置工程的运输车辆及周转箱（桶）清洗消毒设施宜临近卸料区或出入口。</w:t>
      </w:r>
    </w:p>
    <w:p>
      <w:pPr>
        <w:pStyle w:val="3"/>
        <w:rPr>
          <w:rFonts w:cs="Times New Roman"/>
          <w:color w:val="auto"/>
        </w:rPr>
      </w:pPr>
      <w:bookmarkStart w:id="45" w:name="_Toc109654822"/>
      <w:bookmarkEnd w:id="45"/>
      <w:bookmarkStart w:id="46" w:name="_Toc109654724"/>
      <w:bookmarkEnd w:id="46"/>
      <w:bookmarkStart w:id="47" w:name="_Toc109654821"/>
      <w:bookmarkEnd w:id="47"/>
      <w:bookmarkStart w:id="48" w:name="_Toc109654725"/>
      <w:bookmarkEnd w:id="48"/>
      <w:bookmarkStart w:id="49" w:name="_Toc7081"/>
      <w:r>
        <w:rPr>
          <w:rFonts w:hint="eastAsia" w:cs="Times New Roman"/>
          <w:color w:val="auto"/>
        </w:rPr>
        <w:t>工艺设计</w:t>
      </w:r>
      <w:bookmarkEnd w:id="49"/>
    </w:p>
    <w:p>
      <w:pPr>
        <w:pStyle w:val="32"/>
        <w:ind w:firstLine="480"/>
        <w:rPr>
          <w:color w:val="auto"/>
        </w:rPr>
      </w:pPr>
      <w:r>
        <w:rPr>
          <w:color w:val="auto"/>
        </w:rPr>
        <w:t>标准第</w:t>
      </w:r>
      <w:r>
        <w:rPr>
          <w:rFonts w:hint="eastAsia"/>
          <w:color w:val="auto"/>
        </w:rPr>
        <w:t>五</w:t>
      </w:r>
      <w:r>
        <w:rPr>
          <w:color w:val="auto"/>
        </w:rPr>
        <w:t>章为</w:t>
      </w:r>
      <w:r>
        <w:rPr>
          <w:rFonts w:hint="eastAsia"/>
          <w:color w:val="auto"/>
          <w:lang w:eastAsia="zh-CN"/>
        </w:rPr>
        <w:t>医疗废物等离子体集中处理处置工程</w:t>
      </w:r>
      <w:r>
        <w:rPr>
          <w:color w:val="auto"/>
        </w:rPr>
        <w:t>中每个系统单元的通用性设计要求。从接收</w:t>
      </w:r>
      <w:r>
        <w:rPr>
          <w:rFonts w:hint="eastAsia"/>
          <w:color w:val="auto"/>
        </w:rPr>
        <w:t>、</w:t>
      </w:r>
      <w:r>
        <w:rPr>
          <w:color w:val="auto"/>
        </w:rPr>
        <w:t>贮存</w:t>
      </w:r>
      <w:r>
        <w:rPr>
          <w:rFonts w:hint="eastAsia"/>
          <w:color w:val="auto"/>
        </w:rPr>
        <w:t>与输送系统、进料系统、清洗消毒系统、气化系统、等离子体发生器系统、</w:t>
      </w:r>
      <w:r>
        <w:rPr>
          <w:rFonts w:hint="eastAsia"/>
          <w:color w:val="auto"/>
          <w:lang w:val="en-US" w:eastAsia="zh-CN"/>
        </w:rPr>
        <w:t>余热</w:t>
      </w:r>
      <w:r>
        <w:rPr>
          <w:color w:val="auto"/>
        </w:rPr>
        <w:t>利用</w:t>
      </w:r>
      <w:r>
        <w:rPr>
          <w:rFonts w:hint="eastAsia"/>
          <w:color w:val="auto"/>
        </w:rPr>
        <w:t>系统、</w:t>
      </w:r>
      <w:r>
        <w:rPr>
          <w:color w:val="auto"/>
        </w:rPr>
        <w:t>烟气净化</w:t>
      </w:r>
      <w:r>
        <w:rPr>
          <w:rFonts w:hint="eastAsia"/>
          <w:color w:val="auto"/>
        </w:rPr>
        <w:t>系统、废水处理系统</w:t>
      </w:r>
      <w:r>
        <w:rPr>
          <w:rFonts w:hint="eastAsia"/>
          <w:color w:val="auto"/>
          <w:lang w:eastAsia="zh-CN"/>
        </w:rPr>
        <w:t>、</w:t>
      </w:r>
      <w:r>
        <w:rPr>
          <w:rFonts w:hint="eastAsia"/>
          <w:color w:val="auto"/>
          <w:lang w:val="en-US" w:eastAsia="zh-CN"/>
        </w:rPr>
        <w:t>自动控制系统</w:t>
      </w:r>
      <w:r>
        <w:rPr>
          <w:color w:val="auto"/>
        </w:rPr>
        <w:t>等方面进行了规定。</w:t>
      </w:r>
    </w:p>
    <w:p>
      <w:pPr>
        <w:pStyle w:val="4"/>
        <w:rPr>
          <w:color w:val="auto"/>
        </w:rPr>
      </w:pPr>
      <w:bookmarkStart w:id="50" w:name="_Toc897"/>
      <w:r>
        <w:rPr>
          <w:rFonts w:hint="eastAsia"/>
          <w:color w:val="auto"/>
          <w:lang w:val="en-US" w:eastAsia="zh-CN"/>
        </w:rPr>
        <w:t>工程构成</w:t>
      </w:r>
      <w:bookmarkEnd w:id="50"/>
    </w:p>
    <w:p>
      <w:pPr>
        <w:pStyle w:val="32"/>
        <w:ind w:firstLine="480"/>
        <w:rPr>
          <w:color w:val="auto"/>
        </w:rPr>
      </w:pPr>
      <w:r>
        <w:rPr>
          <w:color w:val="auto"/>
        </w:rPr>
        <w:t>标准条文</w:t>
      </w:r>
      <w:r>
        <w:rPr>
          <w:rFonts w:hint="eastAsia"/>
          <w:color w:val="auto"/>
          <w:lang w:val="en-US" w:eastAsia="zh-CN"/>
        </w:rPr>
        <w:t>5.1</w:t>
      </w:r>
      <w:r>
        <w:rPr>
          <w:color w:val="auto"/>
        </w:rPr>
        <w:t>规定了</w:t>
      </w:r>
      <w:r>
        <w:rPr>
          <w:rFonts w:hint="eastAsia"/>
          <w:color w:val="auto"/>
          <w:lang w:eastAsia="zh-CN"/>
        </w:rPr>
        <w:t>医疗废物等离子体集中处理处置工程</w:t>
      </w:r>
      <w:r>
        <w:rPr>
          <w:color w:val="auto"/>
        </w:rPr>
        <w:t>的主要构成，包括主体工程、辅助工程和配套设施。其中，主体工程具体可细分为接收</w:t>
      </w:r>
      <w:r>
        <w:rPr>
          <w:rFonts w:hint="eastAsia"/>
          <w:color w:val="auto"/>
        </w:rPr>
        <w:t>、</w:t>
      </w:r>
      <w:r>
        <w:rPr>
          <w:color w:val="auto"/>
        </w:rPr>
        <w:t>贮存</w:t>
      </w:r>
      <w:r>
        <w:rPr>
          <w:rFonts w:hint="eastAsia"/>
          <w:color w:val="auto"/>
        </w:rPr>
        <w:t>与输送系统、进料系统、清洗消毒系统、气化系统、等离子体发生器系统、</w:t>
      </w:r>
      <w:r>
        <w:rPr>
          <w:rFonts w:hint="eastAsia"/>
          <w:color w:val="auto"/>
          <w:lang w:val="en-US" w:eastAsia="zh-CN"/>
        </w:rPr>
        <w:t>余热</w:t>
      </w:r>
      <w:r>
        <w:rPr>
          <w:color w:val="auto"/>
        </w:rPr>
        <w:t>利用</w:t>
      </w:r>
      <w:r>
        <w:rPr>
          <w:rFonts w:hint="eastAsia"/>
          <w:color w:val="auto"/>
        </w:rPr>
        <w:t>系统、</w:t>
      </w:r>
      <w:r>
        <w:rPr>
          <w:color w:val="auto"/>
        </w:rPr>
        <w:t>烟气净化</w:t>
      </w:r>
      <w:r>
        <w:rPr>
          <w:rFonts w:hint="eastAsia"/>
          <w:color w:val="auto"/>
        </w:rPr>
        <w:t>系统、废水处理系统</w:t>
      </w:r>
      <w:r>
        <w:rPr>
          <w:rFonts w:hint="eastAsia"/>
          <w:color w:val="auto"/>
          <w:lang w:eastAsia="zh-CN"/>
        </w:rPr>
        <w:t>、</w:t>
      </w:r>
      <w:r>
        <w:rPr>
          <w:rFonts w:hint="eastAsia"/>
          <w:color w:val="auto"/>
          <w:lang w:val="en-US" w:eastAsia="zh-CN"/>
        </w:rPr>
        <w:t>自动控制系统</w:t>
      </w:r>
      <w:r>
        <w:rPr>
          <w:color w:val="auto"/>
        </w:rPr>
        <w:t>；辅助工程主要包括</w:t>
      </w:r>
      <w:r>
        <w:rPr>
          <w:rFonts w:hint="eastAsia"/>
          <w:color w:val="auto"/>
        </w:rPr>
        <w:t>供配电</w:t>
      </w:r>
      <w:r>
        <w:rPr>
          <w:color w:val="auto"/>
        </w:rPr>
        <w:t>、给排水、消防、</w:t>
      </w:r>
      <w:r>
        <w:rPr>
          <w:rFonts w:hint="eastAsia"/>
          <w:color w:val="auto"/>
        </w:rPr>
        <w:t>暖通、检测化验等</w:t>
      </w:r>
      <w:r>
        <w:rPr>
          <w:color w:val="auto"/>
        </w:rPr>
        <w:t>；配套设施主要包括办公用房、食堂、浴室、</w:t>
      </w:r>
      <w:r>
        <w:rPr>
          <w:rFonts w:hint="eastAsia"/>
          <w:color w:val="auto"/>
        </w:rPr>
        <w:t>倒班</w:t>
      </w:r>
      <w:r>
        <w:rPr>
          <w:color w:val="auto"/>
        </w:rPr>
        <w:t>宿舍等。</w:t>
      </w:r>
    </w:p>
    <w:p>
      <w:pPr>
        <w:pStyle w:val="32"/>
        <w:ind w:firstLine="480"/>
        <w:rPr>
          <w:color w:val="auto"/>
        </w:rPr>
      </w:pPr>
      <w:r>
        <w:rPr>
          <w:color w:val="auto"/>
        </w:rPr>
        <w:t>标准条文</w:t>
      </w:r>
      <w:r>
        <w:rPr>
          <w:rFonts w:hint="eastAsia"/>
          <w:color w:val="auto"/>
        </w:rPr>
        <w:t>5</w:t>
      </w:r>
      <w:r>
        <w:rPr>
          <w:color w:val="auto"/>
        </w:rPr>
        <w:t>.1</w:t>
      </w:r>
      <w:r>
        <w:rPr>
          <w:rFonts w:hint="eastAsia"/>
          <w:color w:val="auto"/>
          <w:lang w:val="en-US" w:eastAsia="zh-CN"/>
        </w:rPr>
        <w:t>还</w:t>
      </w:r>
      <w:r>
        <w:rPr>
          <w:color w:val="auto"/>
        </w:rPr>
        <w:t>提出了</w:t>
      </w:r>
      <w:r>
        <w:rPr>
          <w:rFonts w:hint="eastAsia"/>
          <w:color w:val="auto"/>
          <w:lang w:eastAsia="zh-CN"/>
        </w:rPr>
        <w:t>医疗废物等离子体集中处理处置工程</w:t>
      </w:r>
      <w:r>
        <w:rPr>
          <w:color w:val="auto"/>
        </w:rPr>
        <w:t>的</w:t>
      </w:r>
      <w:r>
        <w:rPr>
          <w:rFonts w:hint="eastAsia"/>
          <w:color w:val="auto"/>
          <w:lang w:val="en-US" w:eastAsia="zh-CN"/>
        </w:rPr>
        <w:t>典型</w:t>
      </w:r>
      <w:r>
        <w:rPr>
          <w:color w:val="auto"/>
        </w:rPr>
        <w:t>工艺流程</w:t>
      </w:r>
      <w:r>
        <w:rPr>
          <w:rFonts w:hint="eastAsia"/>
          <w:color w:val="auto"/>
          <w:lang w:eastAsia="zh-CN"/>
        </w:rPr>
        <w:t>，</w:t>
      </w:r>
      <w:r>
        <w:rPr>
          <w:rFonts w:hint="eastAsia"/>
          <w:color w:val="auto"/>
          <w:lang w:val="en-US" w:eastAsia="zh-CN"/>
        </w:rPr>
        <w:t>如下图所示，并在资料性附录中说明</w:t>
      </w:r>
      <w:r>
        <w:rPr>
          <w:color w:val="auto"/>
        </w:rPr>
        <w:t>。</w:t>
      </w:r>
      <w:r>
        <w:rPr>
          <w:rFonts w:hint="eastAsia"/>
          <w:color w:val="auto"/>
        </w:rPr>
        <w:t>2011年版的《医疗废物处理处置污染防治最佳可行技术指南（试行）》（HJ-BAT-8）中对高温热处理方式做过较为简单的说明。结合位于江苏南通海安的等离子体医疗废物气化试验能力验证项目实际运行情况来看，等离子体气化处置和一般的焚烧处置设施最大的不同在于核心设备炉系统和发生器系统的功能设计与运行，其他系统的通用性较强。</w:t>
      </w:r>
    </w:p>
    <w:p>
      <w:pPr>
        <w:pStyle w:val="32"/>
        <w:ind w:firstLine="0" w:firstLineChars="0"/>
        <w:jc w:val="center"/>
        <w:rPr>
          <w:color w:val="auto"/>
        </w:rPr>
      </w:pPr>
      <w:r>
        <w:rPr>
          <w:color w:val="auto"/>
        </w:rPr>
        <w:drawing>
          <wp:inline distT="0" distB="0" distL="114300" distR="114300">
            <wp:extent cx="4516120" cy="2827655"/>
            <wp:effectExtent l="0" t="0" r="10160" b="698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3"/>
                    <a:stretch>
                      <a:fillRect/>
                    </a:stretch>
                  </pic:blipFill>
                  <pic:spPr>
                    <a:xfrm>
                      <a:off x="0" y="0"/>
                      <a:ext cx="4516120" cy="2827655"/>
                    </a:xfrm>
                    <a:prstGeom prst="rect">
                      <a:avLst/>
                    </a:prstGeom>
                    <a:noFill/>
                    <a:ln>
                      <a:noFill/>
                    </a:ln>
                  </pic:spPr>
                </pic:pic>
              </a:graphicData>
            </a:graphic>
          </wp:inline>
        </w:drawing>
      </w:r>
    </w:p>
    <w:p>
      <w:pPr>
        <w:pStyle w:val="23"/>
        <w:numPr>
          <w:ilvl w:val="0"/>
          <w:numId w:val="10"/>
        </w:numPr>
        <w:spacing w:line="336" w:lineRule="auto"/>
        <w:ind w:firstLineChars="0"/>
        <w:jc w:val="center"/>
        <w:rPr>
          <w:b/>
          <w:color w:val="auto"/>
          <w:kern w:val="0"/>
          <w:szCs w:val="21"/>
        </w:rPr>
      </w:pPr>
      <w:r>
        <w:rPr>
          <w:color w:val="auto"/>
          <w:szCs w:val="21"/>
        </w:rPr>
        <w:t>医疗废物等离子体集中</w:t>
      </w:r>
      <w:r>
        <w:rPr>
          <w:rFonts w:hint="eastAsia"/>
          <w:color w:val="auto"/>
          <w:szCs w:val="21"/>
          <w:lang w:val="en-US" w:eastAsia="zh-CN"/>
        </w:rPr>
        <w:t>处理</w:t>
      </w:r>
      <w:r>
        <w:rPr>
          <w:color w:val="auto"/>
          <w:szCs w:val="21"/>
        </w:rPr>
        <w:t>处置</w:t>
      </w:r>
      <w:r>
        <w:rPr>
          <w:rFonts w:hint="eastAsia"/>
          <w:color w:val="auto"/>
          <w:szCs w:val="21"/>
          <w:lang w:val="en-US" w:eastAsia="zh-CN"/>
        </w:rPr>
        <w:t>典型</w:t>
      </w:r>
      <w:r>
        <w:rPr>
          <w:color w:val="auto"/>
          <w:szCs w:val="21"/>
        </w:rPr>
        <w:t>工艺流程</w:t>
      </w:r>
    </w:p>
    <w:p>
      <w:pPr>
        <w:pStyle w:val="4"/>
        <w:rPr>
          <w:color w:val="auto"/>
        </w:rPr>
      </w:pPr>
      <w:bookmarkStart w:id="51" w:name="_Toc16199"/>
      <w:r>
        <w:rPr>
          <w:color w:val="auto"/>
        </w:rPr>
        <w:t>接收、贮存与输送系统</w:t>
      </w:r>
      <w:bookmarkEnd w:id="51"/>
    </w:p>
    <w:p>
      <w:pPr>
        <w:pStyle w:val="32"/>
        <w:ind w:firstLine="480"/>
        <w:rPr>
          <w:color w:val="auto"/>
        </w:rPr>
      </w:pPr>
      <w:r>
        <w:rPr>
          <w:color w:val="auto"/>
        </w:rPr>
        <w:t>标准条文5.2提出了</w:t>
      </w:r>
      <w:r>
        <w:rPr>
          <w:rFonts w:hint="eastAsia"/>
          <w:color w:val="auto"/>
          <w:lang w:eastAsia="zh-CN"/>
        </w:rPr>
        <w:t>医疗废物等离子体集中处理处置工程</w:t>
      </w:r>
      <w:r>
        <w:rPr>
          <w:color w:val="auto"/>
        </w:rPr>
        <w:t>接收、贮存与输送系统的通用性要求。</w:t>
      </w:r>
    </w:p>
    <w:p>
      <w:pPr>
        <w:pStyle w:val="32"/>
        <w:ind w:firstLine="480"/>
        <w:rPr>
          <w:color w:val="auto"/>
        </w:rPr>
      </w:pPr>
      <w:r>
        <w:rPr>
          <w:color w:val="auto"/>
        </w:rPr>
        <w:t>医疗废物接收、贮存与输送系统的主要组成，包括计量设施、卸料设施、卸料场地、</w:t>
      </w:r>
      <w:r>
        <w:rPr>
          <w:rFonts w:hint="eastAsia"/>
          <w:color w:val="auto"/>
        </w:rPr>
        <w:t>暂存库（冷库）</w:t>
      </w:r>
      <w:r>
        <w:rPr>
          <w:color w:val="auto"/>
        </w:rPr>
        <w:t>、医疗废物厂内转运设施和其他设施</w:t>
      </w:r>
      <w:r>
        <w:rPr>
          <w:rFonts w:hint="eastAsia"/>
          <w:color w:val="auto"/>
        </w:rPr>
        <w:t>，</w:t>
      </w:r>
      <w:r>
        <w:rPr>
          <w:rFonts w:hint="eastAsia"/>
          <w:color w:val="auto"/>
          <w:lang w:val="en-US" w:eastAsia="zh-CN"/>
        </w:rPr>
        <w:t>应</w:t>
      </w:r>
      <w:r>
        <w:rPr>
          <w:rFonts w:hint="eastAsia"/>
          <w:color w:val="auto"/>
        </w:rPr>
        <w:t>选用自动化程度较高的设备以尽量避免医疗废物与操作人员的直接接触</w:t>
      </w:r>
      <w:r>
        <w:rPr>
          <w:color w:val="auto"/>
        </w:rPr>
        <w:t>。</w:t>
      </w:r>
      <w:r>
        <w:rPr>
          <w:rFonts w:hint="eastAsia"/>
          <w:color w:val="auto"/>
        </w:rPr>
        <w:t>针对</w:t>
      </w:r>
      <w:r>
        <w:rPr>
          <w:color w:val="auto"/>
        </w:rPr>
        <w:t>医疗废物贮存区域的</w:t>
      </w:r>
      <w:r>
        <w:rPr>
          <w:rFonts w:hint="eastAsia"/>
          <w:color w:val="auto"/>
        </w:rPr>
        <w:t>设计，</w:t>
      </w:r>
      <w:r>
        <w:rPr>
          <w:color w:val="auto"/>
        </w:rPr>
        <w:t>根据</w:t>
      </w:r>
      <w:r>
        <w:rPr>
          <w:rFonts w:hint="eastAsia"/>
          <w:color w:val="auto"/>
        </w:rPr>
        <w:t>《医疗废物处理处置污染控制标准》（</w:t>
      </w:r>
      <w:r>
        <w:rPr>
          <w:color w:val="auto"/>
        </w:rPr>
        <w:t>GB 39707</w:t>
      </w:r>
      <w:r>
        <w:rPr>
          <w:rFonts w:hint="eastAsia"/>
          <w:color w:val="auto"/>
        </w:rPr>
        <w:t>）</w:t>
      </w:r>
      <w:r>
        <w:rPr>
          <w:color w:val="auto"/>
        </w:rPr>
        <w:t>标准条文5.4.1“医疗废物处理处置单位应设置感染性、损伤性、病理性废物的贮存设施；若收集化学性、药物性废物还应设置专用贮存设施。贮存设施内应设置不同类别医疗废物的贮存区。”医疗废物等离子体处置工艺可以处置全部五类医疗废物，按照规定</w:t>
      </w:r>
      <w:r>
        <w:rPr>
          <w:rFonts w:hint="eastAsia"/>
          <w:color w:val="auto"/>
        </w:rPr>
        <w:t>需</w:t>
      </w:r>
      <w:r>
        <w:rPr>
          <w:color w:val="auto"/>
        </w:rPr>
        <w:t>分别设置不同的贮存区，</w:t>
      </w:r>
      <w:r>
        <w:rPr>
          <w:rFonts w:hint="eastAsia"/>
          <w:color w:val="auto"/>
        </w:rPr>
        <w:t>并且</w:t>
      </w:r>
      <w:r>
        <w:rPr>
          <w:color w:val="auto"/>
        </w:rPr>
        <w:t>应符合GB 18597的要求。</w:t>
      </w:r>
      <w:r>
        <w:rPr>
          <w:rFonts w:hint="eastAsia"/>
          <w:color w:val="auto"/>
        </w:rPr>
        <w:t>针对感染性、损伤性、病理性废物贮存设施中产生的废气，应通过微负压设置及通风装置收集以防止外漏，收集的废气可以直接入炉焚烧处置或者进入废气净化装置处理后达标排放，根据</w:t>
      </w:r>
      <w:r>
        <w:rPr>
          <w:rFonts w:hint="eastAsia"/>
          <w:color w:val="auto"/>
          <w:lang w:eastAsia="zh-CN"/>
        </w:rPr>
        <w:t>集中处理处置工程</w:t>
      </w:r>
      <w:r>
        <w:rPr>
          <w:rFonts w:hint="eastAsia"/>
          <w:color w:val="auto"/>
        </w:rPr>
        <w:t>的需求合理选择。</w:t>
      </w:r>
    </w:p>
    <w:p>
      <w:pPr>
        <w:pStyle w:val="32"/>
        <w:ind w:firstLine="480"/>
        <w:rPr>
          <w:color w:val="auto"/>
        </w:rPr>
      </w:pPr>
      <w:r>
        <w:rPr>
          <w:color w:val="auto"/>
        </w:rPr>
        <w:t>医疗废物贮存设置的贮存能力，应综合医疗废物产生量、贮存时间、等离子体处置设备检修期间医疗废物的存放等因素确定，贮存量应能满足设备维修的需要，贮存时间满足GB 39707的要求。GB 39707标准条文5.4.6和5.4.7规定，“处理处置单位对感染性、损伤性、病理性废物的贮存应符合以下要求：a）贮存温度≥5℃，贮存时间不得超过24小时；贮存温度＜5℃，贮存时间不得超过72小时；偏远地区贮存温度＜5℃，并采取消毒措施时，可适当延长贮存时间，但不得超过168小时”，“化学性、药物性废物贮存应符合GB 18597的要求”。</w:t>
      </w:r>
    </w:p>
    <w:p>
      <w:pPr>
        <w:pStyle w:val="32"/>
        <w:ind w:firstLine="480"/>
        <w:rPr>
          <w:color w:val="auto"/>
        </w:rPr>
      </w:pPr>
      <w:r>
        <w:rPr>
          <w:rFonts w:hint="eastAsia"/>
          <w:color w:val="auto"/>
          <w:lang w:val="en-US" w:eastAsia="zh-CN"/>
        </w:rPr>
        <w:t>结合实际工程应用，受污染和消毒后的医疗废物周转箱应分区贮存，污染周转箱的贮存区域应符合GB 18597的要求；清洗消毒后的周转箱贮存区域应符合GB 18599的要求。</w:t>
      </w:r>
    </w:p>
    <w:p>
      <w:pPr>
        <w:pStyle w:val="32"/>
        <w:ind w:firstLine="480"/>
        <w:rPr>
          <w:color w:val="auto"/>
        </w:rPr>
      </w:pPr>
      <w:r>
        <w:rPr>
          <w:rFonts w:hint="eastAsia"/>
          <w:color w:val="auto"/>
        </w:rPr>
        <w:t>根据江苏省危险废物全生命周期管理系统要求，贮存设施应在关键位置设置视频监控</w:t>
      </w:r>
      <w:r>
        <w:rPr>
          <w:color w:val="auto"/>
        </w:rPr>
        <w:t>。</w:t>
      </w:r>
    </w:p>
    <w:p>
      <w:pPr>
        <w:pStyle w:val="4"/>
        <w:rPr>
          <w:color w:val="auto"/>
        </w:rPr>
      </w:pPr>
      <w:bookmarkStart w:id="52" w:name="_Toc9084"/>
      <w:r>
        <w:rPr>
          <w:rFonts w:hint="eastAsia"/>
          <w:color w:val="auto"/>
        </w:rPr>
        <w:t>进料系统</w:t>
      </w:r>
      <w:bookmarkEnd w:id="52"/>
    </w:p>
    <w:p>
      <w:pPr>
        <w:pStyle w:val="32"/>
        <w:ind w:firstLine="480"/>
        <w:rPr>
          <w:color w:val="auto"/>
        </w:rPr>
      </w:pPr>
      <w:r>
        <w:rPr>
          <w:color w:val="auto"/>
        </w:rPr>
        <w:t>标准条文</w:t>
      </w:r>
      <w:r>
        <w:rPr>
          <w:rFonts w:hint="eastAsia"/>
          <w:color w:val="auto"/>
        </w:rPr>
        <w:t>5</w:t>
      </w:r>
      <w:r>
        <w:rPr>
          <w:color w:val="auto"/>
        </w:rPr>
        <w:t>.</w:t>
      </w:r>
      <w:r>
        <w:rPr>
          <w:rFonts w:hint="eastAsia"/>
          <w:color w:val="auto"/>
          <w:lang w:val="en-US" w:eastAsia="zh-CN"/>
        </w:rPr>
        <w:t>3</w:t>
      </w:r>
      <w:r>
        <w:rPr>
          <w:color w:val="auto"/>
        </w:rPr>
        <w:t>提出了</w:t>
      </w:r>
      <w:r>
        <w:rPr>
          <w:rFonts w:hint="eastAsia"/>
          <w:color w:val="auto"/>
          <w:lang w:eastAsia="zh-CN"/>
        </w:rPr>
        <w:t>医疗废物等离子体集中处理处置工程</w:t>
      </w:r>
      <w:r>
        <w:rPr>
          <w:color w:val="auto"/>
        </w:rPr>
        <w:t>进料系统的通用性要求。参考了《医疗废物集中焚烧处置工程建设技术规范》（</w:t>
      </w:r>
      <w:r>
        <w:rPr>
          <w:rFonts w:hint="eastAsia"/>
          <w:color w:val="auto"/>
        </w:rPr>
        <w:t>HJ</w:t>
      </w:r>
      <w:r>
        <w:rPr>
          <w:color w:val="auto"/>
        </w:rPr>
        <w:t xml:space="preserve"> 177）相关条文规定。</w:t>
      </w:r>
    </w:p>
    <w:p>
      <w:pPr>
        <w:pStyle w:val="32"/>
        <w:ind w:firstLine="480"/>
        <w:rPr>
          <w:color w:val="auto"/>
        </w:rPr>
      </w:pPr>
      <w:r>
        <w:rPr>
          <w:rFonts w:hint="eastAsia"/>
          <w:color w:val="auto"/>
        </w:rPr>
        <w:t>从医疗废物集中处置过程的安全性和连续稳定性要求考虑，</w:t>
      </w:r>
      <w:r>
        <w:rPr>
          <w:color w:val="auto"/>
        </w:rPr>
        <w:t>进料装置的进料口应</w:t>
      </w:r>
      <w:r>
        <w:rPr>
          <w:rFonts w:hint="eastAsia"/>
          <w:color w:val="auto"/>
        </w:rPr>
        <w:t>采取气密性和防回火设计；当处置化学性、药物性废物时直接从进料口投入可能存在液体泄露、物料暴露、产生</w:t>
      </w:r>
      <w:r>
        <w:rPr>
          <w:rFonts w:hint="eastAsia"/>
          <w:color w:val="auto"/>
          <w:lang w:val="en-US" w:eastAsia="zh-CN"/>
        </w:rPr>
        <w:t>正压</w:t>
      </w:r>
      <w:r>
        <w:rPr>
          <w:rFonts w:hint="eastAsia"/>
          <w:color w:val="auto"/>
        </w:rPr>
        <w:t>等风险，应采取相应的预处理措施和进料方案以避免危险</w:t>
      </w:r>
      <w:r>
        <w:rPr>
          <w:rFonts w:hint="eastAsia"/>
          <w:color w:val="auto"/>
          <w:lang w:eastAsia="zh-CN"/>
        </w:rPr>
        <w:t>，</w:t>
      </w:r>
      <w:r>
        <w:rPr>
          <w:rFonts w:hint="eastAsia" w:ascii="Times New Roman"/>
          <w:color w:val="auto"/>
          <w:lang w:val="en-US" w:eastAsia="zh-CN"/>
        </w:rPr>
        <w:t>易燃液体宜通过废液喷枪喷入炉内</w:t>
      </w:r>
      <w:r>
        <w:rPr>
          <w:rFonts w:hint="eastAsia"/>
          <w:color w:val="auto"/>
        </w:rPr>
        <w:t>；由于医疗废物具有感染性，因此其初级包装应与废物一同处置而不能在入炉前破袋，更应避免操作人员与医疗废物的直接接触；</w:t>
      </w:r>
      <w:r>
        <w:rPr>
          <w:color w:val="auto"/>
        </w:rPr>
        <w:t>进料口的尺寸应与医疗废物包装尺寸相配套，保证未经破碎保持完好的医疗废物包装袋和利器盒顺利进入气化炉，防止废物搭桥堵塞</w:t>
      </w:r>
      <w:r>
        <w:rPr>
          <w:rFonts w:hint="eastAsia"/>
          <w:color w:val="auto"/>
        </w:rPr>
        <w:t>；</w:t>
      </w:r>
      <w:r>
        <w:rPr>
          <w:color w:val="auto"/>
        </w:rPr>
        <w:t>气化炉应采用密闭的自动进料装置，并能与自动卸料装置相衔接，尽量避免操作人员与医疗废物接触</w:t>
      </w:r>
      <w:r>
        <w:rPr>
          <w:rFonts w:hint="eastAsia"/>
          <w:color w:val="auto"/>
        </w:rPr>
        <w:t>，降低感染风险；</w:t>
      </w:r>
      <w:r>
        <w:rPr>
          <w:color w:val="auto"/>
        </w:rPr>
        <w:t>进料系统应保证炉内处于负压状态，防止有害气体逸出</w:t>
      </w:r>
      <w:r>
        <w:rPr>
          <w:rFonts w:hint="eastAsia"/>
          <w:color w:val="auto"/>
        </w:rPr>
        <w:t>，</w:t>
      </w:r>
      <w:r>
        <w:rPr>
          <w:color w:val="auto"/>
        </w:rPr>
        <w:t>进料时应能保证气化炉内燃烧工况的稳定。</w:t>
      </w:r>
    </w:p>
    <w:p>
      <w:pPr>
        <w:pStyle w:val="32"/>
        <w:ind w:firstLine="480"/>
        <w:rPr>
          <w:color w:val="auto"/>
        </w:rPr>
      </w:pPr>
      <w:r>
        <w:rPr>
          <w:color w:val="auto"/>
        </w:rPr>
        <w:t>进料装置应能根据燃烧要求向炉内供料，并配置可调节供应量的计量装置实现定量投料。</w:t>
      </w:r>
      <w:r>
        <w:rPr>
          <w:rFonts w:hint="eastAsia"/>
          <w:color w:val="auto"/>
        </w:rPr>
        <w:t>在启停炉、试烧、料层建立等正常和非正常工况下对要求入炉处置的医废量不一致，因此对进料装置提出定量投料的要求。提出了可选择的进料方式组合形式供集中处置单位进行参考和选择，经调研较为适宜的组合进料方式可选择设备包括提升机与双辊给料机、液压推料缸、螺旋给料机等。</w:t>
      </w:r>
    </w:p>
    <w:p>
      <w:pPr>
        <w:pStyle w:val="32"/>
        <w:ind w:firstLine="480"/>
        <w:rPr>
          <w:color w:val="auto"/>
        </w:rPr>
      </w:pPr>
      <w:r>
        <w:rPr>
          <w:color w:val="auto"/>
        </w:rPr>
        <w:t>进料系统</w:t>
      </w:r>
      <w:r>
        <w:rPr>
          <w:rFonts w:hint="eastAsia"/>
          <w:color w:val="auto"/>
        </w:rPr>
        <w:t>还可以</w:t>
      </w:r>
      <w:r>
        <w:rPr>
          <w:color w:val="auto"/>
        </w:rPr>
        <w:t>考虑在线消毒设计，以防止细菌生长；设备</w:t>
      </w:r>
      <w:r>
        <w:rPr>
          <w:rFonts w:hint="eastAsia"/>
          <w:color w:val="auto"/>
        </w:rPr>
        <w:t>建议</w:t>
      </w:r>
      <w:r>
        <w:rPr>
          <w:color w:val="auto"/>
        </w:rPr>
        <w:t>采用不锈钢，方便消毒作业。</w:t>
      </w:r>
      <w:r>
        <w:rPr>
          <w:rFonts w:hint="eastAsia"/>
          <w:color w:val="auto"/>
        </w:rPr>
        <w:t>进料系统直接与医废接触且在正常运行过程中其内部难以进行人工消杀，在线消毒设计能够实现灭菌。消毒液一般采用含氯消毒剂，不锈钢材质具有更好的耐腐蚀性能。同时</w:t>
      </w:r>
      <w:r>
        <w:rPr>
          <w:color w:val="auto"/>
        </w:rPr>
        <w:t>进料口宜采用冷却措施</w:t>
      </w:r>
      <w:r>
        <w:rPr>
          <w:rFonts w:hint="eastAsia"/>
          <w:color w:val="auto"/>
        </w:rPr>
        <w:t>，进料口直接与气化炉相连，受炉内高温辐射影响建议采用冷却措施以保证设备能够更好的正常运行，减少不必要的损毁和修理。</w:t>
      </w:r>
    </w:p>
    <w:p>
      <w:pPr>
        <w:pStyle w:val="4"/>
        <w:rPr>
          <w:color w:val="auto"/>
        </w:rPr>
      </w:pPr>
      <w:bookmarkStart w:id="53" w:name="_Toc7159"/>
      <w:r>
        <w:rPr>
          <w:rFonts w:hint="eastAsia"/>
          <w:color w:val="auto"/>
        </w:rPr>
        <w:t>清洗消毒系统</w:t>
      </w:r>
      <w:bookmarkEnd w:id="53"/>
    </w:p>
    <w:p>
      <w:pPr>
        <w:pStyle w:val="32"/>
        <w:ind w:firstLine="480"/>
        <w:rPr>
          <w:color w:val="auto"/>
        </w:rPr>
      </w:pPr>
      <w:r>
        <w:rPr>
          <w:color w:val="auto"/>
        </w:rPr>
        <w:t>标准条文5.</w:t>
      </w:r>
      <w:r>
        <w:rPr>
          <w:rFonts w:hint="eastAsia"/>
          <w:color w:val="auto"/>
          <w:lang w:val="en-US" w:eastAsia="zh-CN"/>
        </w:rPr>
        <w:t>4</w:t>
      </w:r>
      <w:r>
        <w:rPr>
          <w:color w:val="auto"/>
        </w:rPr>
        <w:t>提出了</w:t>
      </w:r>
      <w:r>
        <w:rPr>
          <w:rFonts w:hint="eastAsia"/>
          <w:color w:val="auto"/>
          <w:lang w:eastAsia="zh-CN"/>
        </w:rPr>
        <w:t>医疗废物等离子体集中处理处置工程</w:t>
      </w:r>
      <w:r>
        <w:rPr>
          <w:color w:val="auto"/>
        </w:rPr>
        <w:t>清洗消毒系统的通用性要求。参考了《医疗废物集中焚烧处置工程建设技术规范》（</w:t>
      </w:r>
      <w:r>
        <w:rPr>
          <w:rFonts w:hint="eastAsia"/>
          <w:color w:val="auto"/>
        </w:rPr>
        <w:t>HJ</w:t>
      </w:r>
      <w:r>
        <w:rPr>
          <w:color w:val="auto"/>
        </w:rPr>
        <w:t xml:space="preserve"> 177）和《医疗废物高温蒸汽消毒集中处理工程技术规范》（HJ 276）相关条文规定。</w:t>
      </w:r>
    </w:p>
    <w:p>
      <w:pPr>
        <w:pStyle w:val="32"/>
        <w:ind w:firstLine="480"/>
        <w:rPr>
          <w:color w:val="auto"/>
        </w:rPr>
      </w:pPr>
      <w:r>
        <w:rPr>
          <w:rFonts w:hint="eastAsia"/>
          <w:color w:val="auto"/>
        </w:rPr>
        <w:t>医疗废物具有极强的感染性，因此</w:t>
      </w:r>
      <w:r>
        <w:rPr>
          <w:rFonts w:hint="eastAsia"/>
          <w:color w:val="auto"/>
          <w:lang w:eastAsia="zh-CN"/>
        </w:rPr>
        <w:t>医疗废物等离子体集中处理处置工程</w:t>
      </w:r>
      <w:r>
        <w:rPr>
          <w:color w:val="auto"/>
        </w:rPr>
        <w:t>应设置医疗废物运输车辆、转运工具、周转箱（桶）以及卸料区、贮存设施清洗消毒的设施。不得在社会车辆清洗场所清洗医疗废物运输车辆。</w:t>
      </w:r>
    </w:p>
    <w:p>
      <w:pPr>
        <w:pStyle w:val="32"/>
        <w:ind w:firstLine="480"/>
        <w:rPr>
          <w:color w:val="auto"/>
        </w:rPr>
      </w:pPr>
      <w:r>
        <w:rPr>
          <w:rFonts w:hint="eastAsia"/>
          <w:color w:val="auto"/>
        </w:rPr>
        <w:t>经调研医废处置项目中，运输车辆以及涉及到医废的场所大多数均采用人工喷洒消毒的方式，具备条件的采用自动车辆清洗机对车身外壁以及底部进行高压冲洗消毒；周转箱的清洗采用周转箱自动清洗机经预洗、清洗、消毒、风干、烘干等流程后待下一次使用，对于特别脏或污染程度较高的周转箱建议采用浸泡消毒方式进行再清洗以确保达到使用要求。含氯消毒剂是一种比较常用、易获取的高效消毒剂，参考《消毒技术规范》（2002年版）的常用消毒方法，“地面、墙壁、门窗，对细菌繁殖体和病毒的污染用</w:t>
      </w:r>
      <w:r>
        <w:rPr>
          <w:color w:val="auto"/>
        </w:rPr>
        <w:t>1000mg/L～2000mg/L有效氯含氯消毒剂溶液喷雾</w:t>
      </w:r>
      <w:r>
        <w:rPr>
          <w:rFonts w:hint="eastAsia"/>
          <w:color w:val="auto"/>
        </w:rPr>
        <w:t>”。医废收集时采用专用包装袋和利器盒收集后再置于周转箱（桶）中转运，入炉前需保证包装不破袋，转运车和盛器基本不直接与医废接触。本条目参考上述相关内容以及《医疗废物高温蒸汽消毒集中处理工程技术规范》（HJ</w:t>
      </w:r>
      <w:r>
        <w:rPr>
          <w:color w:val="auto"/>
        </w:rPr>
        <w:t xml:space="preserve"> </w:t>
      </w:r>
      <w:r>
        <w:rPr>
          <w:rFonts w:hint="eastAsia"/>
          <w:color w:val="auto"/>
        </w:rPr>
        <w:t>276-2020）修订版，并结合实际操作情况拟定</w:t>
      </w:r>
      <w:r>
        <w:rPr>
          <w:rFonts w:hint="eastAsia"/>
          <w:color w:val="auto"/>
          <w:lang w:eastAsia="zh-CN"/>
        </w:rPr>
        <w:t>，</w:t>
      </w:r>
      <w:r>
        <w:rPr>
          <w:rFonts w:hint="eastAsia"/>
          <w:color w:val="auto"/>
          <w:lang w:val="en-US" w:eastAsia="zh-CN"/>
        </w:rPr>
        <w:t>规定</w:t>
      </w:r>
      <w:r>
        <w:rPr>
          <w:rFonts w:hint="eastAsia" w:ascii="Times New Roman"/>
          <w:strike w:val="0"/>
          <w:color w:val="auto"/>
          <w:lang w:val="en-US" w:eastAsia="zh-CN"/>
        </w:rPr>
        <w:t>集中处理处置工程的消毒应满足《消毒技术规范》的要求</w:t>
      </w:r>
      <w:r>
        <w:rPr>
          <w:rFonts w:hint="eastAsia"/>
          <w:color w:val="auto"/>
        </w:rPr>
        <w:t>。</w:t>
      </w:r>
    </w:p>
    <w:p>
      <w:pPr>
        <w:pStyle w:val="32"/>
        <w:ind w:firstLine="480"/>
        <w:rPr>
          <w:rFonts w:hint="default" w:eastAsia="宋体"/>
          <w:color w:val="auto"/>
          <w:lang w:val="en-US" w:eastAsia="zh-CN"/>
        </w:rPr>
      </w:pPr>
      <w:r>
        <w:rPr>
          <w:rFonts w:hint="eastAsia"/>
          <w:color w:val="auto"/>
        </w:rPr>
        <w:t>本条文下还</w:t>
      </w:r>
      <w:r>
        <w:rPr>
          <w:color w:val="auto"/>
        </w:rPr>
        <w:t>规定了运输车辆、转运工具、周转箱（桶）</w:t>
      </w:r>
      <w:r>
        <w:rPr>
          <w:rFonts w:hint="eastAsia"/>
          <w:color w:val="auto"/>
        </w:rPr>
        <w:t>、</w:t>
      </w:r>
      <w:r>
        <w:rPr>
          <w:color w:val="auto"/>
        </w:rPr>
        <w:t>医疗废物贮存设施清洗消毒的频次以及周转箱清洗消毒设备的选择</w:t>
      </w:r>
      <w:r>
        <w:rPr>
          <w:rFonts w:hint="eastAsia"/>
          <w:color w:val="auto"/>
        </w:rPr>
        <w:t>。</w:t>
      </w:r>
      <w:r>
        <w:rPr>
          <w:rFonts w:hint="eastAsia"/>
          <w:color w:val="auto"/>
          <w:lang w:val="en-US" w:eastAsia="zh-CN"/>
        </w:rPr>
        <w:t>结合实际工程应用规定</w:t>
      </w:r>
      <w:r>
        <w:rPr>
          <w:rFonts w:hint="eastAsia" w:ascii="Times New Roman"/>
          <w:color w:val="auto"/>
          <w:lang w:val="en-US" w:eastAsia="zh-CN"/>
        </w:rPr>
        <w:t>集中处理处置工程应设置独立的工作人员消毒设施和洗浴间</w:t>
      </w:r>
      <w:r>
        <w:rPr>
          <w:rFonts w:hint="eastAsia"/>
          <w:color w:val="auto"/>
          <w:lang w:val="en-US" w:eastAsia="zh-CN"/>
        </w:rPr>
        <w:t>。</w:t>
      </w:r>
    </w:p>
    <w:p>
      <w:pPr>
        <w:pStyle w:val="4"/>
        <w:rPr>
          <w:color w:val="auto"/>
        </w:rPr>
      </w:pPr>
      <w:bookmarkStart w:id="54" w:name="_Toc16422"/>
      <w:r>
        <w:rPr>
          <w:rFonts w:hint="eastAsia"/>
          <w:color w:val="auto"/>
        </w:rPr>
        <w:t>气化系统</w:t>
      </w:r>
      <w:bookmarkEnd w:id="54"/>
    </w:p>
    <w:p>
      <w:pPr>
        <w:pStyle w:val="32"/>
        <w:ind w:firstLine="480"/>
        <w:rPr>
          <w:color w:val="auto"/>
        </w:rPr>
      </w:pPr>
      <w:r>
        <w:rPr>
          <w:color w:val="auto"/>
        </w:rPr>
        <w:t>标准条文</w:t>
      </w:r>
      <w:r>
        <w:rPr>
          <w:rFonts w:hint="eastAsia"/>
          <w:color w:val="auto"/>
        </w:rPr>
        <w:t>5</w:t>
      </w:r>
      <w:r>
        <w:rPr>
          <w:color w:val="auto"/>
        </w:rPr>
        <w:t>.5提出了</w:t>
      </w:r>
      <w:r>
        <w:rPr>
          <w:rFonts w:hint="eastAsia"/>
          <w:color w:val="auto"/>
          <w:lang w:eastAsia="zh-CN"/>
        </w:rPr>
        <w:t>医疗废物等离子体集中处理处置工程</w:t>
      </w:r>
      <w:r>
        <w:rPr>
          <w:color w:val="auto"/>
        </w:rPr>
        <w:t>气化系统的通用性要求。气化炉为医疗废物处置的核心设备，本条文对其</w:t>
      </w:r>
      <w:r>
        <w:rPr>
          <w:rFonts w:hint="eastAsia"/>
          <w:color w:val="auto"/>
        </w:rPr>
        <w:t>基本组成和重要设计要求、</w:t>
      </w:r>
      <w:r>
        <w:rPr>
          <w:color w:val="auto"/>
        </w:rPr>
        <w:t>主要技术性能指标做了详细规定。</w:t>
      </w:r>
    </w:p>
    <w:p>
      <w:pPr>
        <w:pStyle w:val="32"/>
        <w:ind w:firstLine="480"/>
        <w:rPr>
          <w:color w:val="auto"/>
        </w:rPr>
      </w:pPr>
      <w:r>
        <w:rPr>
          <w:rFonts w:hint="eastAsia"/>
          <w:color w:val="auto"/>
        </w:rPr>
        <w:t>标准条文5.5.1规定了气化系统的基本组成，包括气化炉、二燃室、燃烧空气系统和辅助燃烧装置、应急排放口等。</w:t>
      </w:r>
    </w:p>
    <w:p>
      <w:pPr>
        <w:pStyle w:val="32"/>
        <w:ind w:firstLine="480"/>
        <w:rPr>
          <w:color w:val="auto"/>
        </w:rPr>
      </w:pPr>
      <w:r>
        <w:rPr>
          <w:rFonts w:hint="eastAsia"/>
          <w:color w:val="auto"/>
        </w:rPr>
        <w:t>标准条文5.5.2规定了在气化炉运行过程中要保证系统处于负压状态以避免</w:t>
      </w:r>
      <w:r>
        <w:rPr>
          <w:rFonts w:hint="eastAsia"/>
          <w:color w:val="auto"/>
          <w:lang w:val="en-US" w:eastAsia="zh-CN"/>
        </w:rPr>
        <w:t>可燃气体</w:t>
      </w:r>
      <w:r>
        <w:rPr>
          <w:rFonts w:hint="eastAsia"/>
          <w:color w:val="auto"/>
        </w:rPr>
        <w:t>逸出。</w:t>
      </w:r>
    </w:p>
    <w:p>
      <w:pPr>
        <w:pStyle w:val="32"/>
        <w:ind w:firstLine="480"/>
        <w:rPr>
          <w:color w:val="auto"/>
        </w:rPr>
      </w:pPr>
      <w:r>
        <w:rPr>
          <w:rFonts w:hint="eastAsia"/>
          <w:color w:val="auto"/>
        </w:rPr>
        <w:t>标准条文5</w:t>
      </w:r>
      <w:r>
        <w:rPr>
          <w:color w:val="auto"/>
        </w:rPr>
        <w:t>.5.3</w:t>
      </w:r>
      <w:r>
        <w:rPr>
          <w:rFonts w:hint="eastAsia"/>
          <w:color w:val="auto"/>
        </w:rPr>
        <w:t>规定了</w:t>
      </w:r>
      <w:r>
        <w:rPr>
          <w:rFonts w:hint="eastAsia" w:hAnsi="宋体"/>
          <w:strike w:val="0"/>
          <w:dstrike w:val="0"/>
          <w:color w:val="auto"/>
          <w:highlight w:val="none"/>
          <w:lang w:val="en-US" w:eastAsia="zh-CN"/>
        </w:rPr>
        <w:t>气化炉熔融的温度应大于</w:t>
      </w:r>
      <w:r>
        <w:rPr>
          <w:rFonts w:hint="eastAsia" w:hAnsi="宋体" w:cs="Times New Roman"/>
          <w:color w:val="auto"/>
          <w:lang w:val="en-US" w:eastAsia="zh-CN"/>
        </w:rPr>
        <w:t>1300℃</w:t>
      </w:r>
      <w:r>
        <w:rPr>
          <w:rFonts w:hint="eastAsia" w:hAnsi="宋体"/>
          <w:strike w:val="0"/>
          <w:dstrike w:val="0"/>
          <w:color w:val="auto"/>
          <w:highlight w:val="none"/>
          <w:lang w:val="en-US" w:eastAsia="zh-CN"/>
        </w:rPr>
        <w:t>，其它</w:t>
      </w:r>
      <w:r>
        <w:rPr>
          <w:rFonts w:hint="eastAsia" w:hAnsi="宋体"/>
          <w:strike w:val="0"/>
          <w:dstrike w:val="0"/>
          <w:color w:val="auto"/>
        </w:rPr>
        <w:t>技术性能指标应满足</w:t>
      </w:r>
      <w:r>
        <w:rPr>
          <w:rFonts w:hint="eastAsia" w:hAnsi="宋体" w:cs="Times New Roman"/>
          <w:color w:val="auto"/>
          <w:lang w:val="en-US" w:eastAsia="zh-CN"/>
        </w:rPr>
        <w:t>GB 39707-2020中表1</w:t>
      </w:r>
      <w:r>
        <w:rPr>
          <w:rFonts w:hint="eastAsia" w:hAnsi="宋体"/>
          <w:strike w:val="0"/>
          <w:dstrike w:val="0"/>
          <w:color w:val="auto"/>
        </w:rPr>
        <w:t>的要求</w:t>
      </w:r>
      <w:r>
        <w:rPr>
          <w:rFonts w:hint="eastAsia" w:hAnsi="宋体"/>
          <w:strike w:val="0"/>
          <w:dstrike w:val="0"/>
          <w:color w:val="auto"/>
          <w:lang w:eastAsia="zh-CN"/>
        </w:rPr>
        <w:t>，</w:t>
      </w:r>
      <w:r>
        <w:rPr>
          <w:rFonts w:hint="eastAsia" w:hAnsi="宋体"/>
          <w:strike w:val="0"/>
          <w:dstrike w:val="0"/>
          <w:color w:val="auto"/>
          <w:lang w:val="en-US" w:eastAsia="zh-CN"/>
        </w:rPr>
        <w:t>体现了等离子体与一般焚烧技术处理处置医疗废物在温度控制上的差异</w:t>
      </w:r>
      <w:r>
        <w:rPr>
          <w:rFonts w:hint="eastAsia" w:hAnsi="宋体"/>
          <w:color w:val="auto"/>
        </w:rPr>
        <w:t>。</w:t>
      </w:r>
    </w:p>
    <w:p>
      <w:pPr>
        <w:pStyle w:val="32"/>
        <w:ind w:firstLine="480"/>
        <w:rPr>
          <w:color w:val="auto"/>
        </w:rPr>
      </w:pPr>
      <w:r>
        <w:rPr>
          <w:rFonts w:hint="eastAsia"/>
          <w:color w:val="auto"/>
        </w:rPr>
        <w:t>《医疗废物处理处置污染控制标准》（GB</w:t>
      </w:r>
      <w:r>
        <w:rPr>
          <w:color w:val="auto"/>
        </w:rPr>
        <w:t xml:space="preserve"> 39707</w:t>
      </w:r>
      <w:r>
        <w:rPr>
          <w:rFonts w:hint="eastAsia"/>
          <w:color w:val="auto"/>
        </w:rPr>
        <w:t>）中针对医疗废物焚烧处置技术做了相应规定和要求，本标准直接引用不再赘述。气化炉</w:t>
      </w:r>
      <w:r>
        <w:rPr>
          <w:rFonts w:hint="eastAsia"/>
          <w:color w:val="auto"/>
          <w:lang w:val="en-US" w:eastAsia="zh-CN"/>
        </w:rPr>
        <w:t>除熔融温度外</w:t>
      </w:r>
      <w:r>
        <w:rPr>
          <w:rFonts w:hint="eastAsia"/>
          <w:color w:val="auto"/>
        </w:rPr>
        <w:t>的技术性能指标参考GB</w:t>
      </w:r>
      <w:r>
        <w:rPr>
          <w:color w:val="auto"/>
        </w:rPr>
        <w:t xml:space="preserve"> 39707</w:t>
      </w:r>
      <w:r>
        <w:rPr>
          <w:rFonts w:hint="eastAsia"/>
          <w:color w:val="auto"/>
        </w:rPr>
        <w:t>中表1医疗废物焚烧炉的相关要求：</w:t>
      </w:r>
    </w:p>
    <w:p>
      <w:pPr>
        <w:pStyle w:val="23"/>
        <w:numPr>
          <w:ilvl w:val="0"/>
          <w:numId w:val="11"/>
        </w:numPr>
        <w:spacing w:line="336" w:lineRule="auto"/>
        <w:ind w:firstLineChars="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医疗废物</w:t>
      </w:r>
      <w:r>
        <w:rPr>
          <w:rFonts w:hint="eastAsia" w:ascii="Times New Roman" w:hAnsi="Times New Roman" w:eastAsia="宋体" w:cs="Times New Roman"/>
          <w:b/>
          <w:color w:val="auto"/>
          <w:kern w:val="0"/>
          <w:szCs w:val="21"/>
        </w:rPr>
        <w:t>焚烧</w:t>
      </w:r>
      <w:r>
        <w:rPr>
          <w:rFonts w:ascii="Times New Roman" w:hAnsi="Times New Roman" w:eastAsia="宋体" w:cs="Times New Roman"/>
          <w:b/>
          <w:color w:val="auto"/>
          <w:kern w:val="0"/>
          <w:szCs w:val="21"/>
        </w:rPr>
        <w:t>炉的技术性能指标</w:t>
      </w:r>
    </w:p>
    <w:tbl>
      <w:tblPr>
        <w:tblStyle w:val="16"/>
        <w:tblW w:w="8075"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583"/>
        <w:gridCol w:w="1113"/>
        <w:gridCol w:w="993"/>
        <w:gridCol w:w="1417"/>
        <w:gridCol w:w="851"/>
        <w:gridCol w:w="1179"/>
        <w:gridCol w:w="983"/>
        <w:gridCol w:w="956"/>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jc w:val="center"/>
        </w:trPr>
        <w:tc>
          <w:tcPr>
            <w:tcW w:w="583"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center"/>
              <w:rPr>
                <w:rFonts w:ascii="宋体" w:hAnsi="宋体"/>
                <w:color w:val="auto"/>
                <w:kern w:val="0"/>
                <w:sz w:val="18"/>
                <w:szCs w:val="18"/>
              </w:rPr>
            </w:pPr>
            <w:r>
              <w:rPr>
                <w:rFonts w:ascii="宋体" w:hAnsi="宋体"/>
                <w:color w:val="auto"/>
                <w:kern w:val="0"/>
                <w:sz w:val="18"/>
                <w:szCs w:val="18"/>
              </w:rPr>
              <w:t>指标</w:t>
            </w:r>
          </w:p>
        </w:tc>
        <w:tc>
          <w:tcPr>
            <w:tcW w:w="1113"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center"/>
              <w:rPr>
                <w:rFonts w:ascii="宋体" w:hAnsi="宋体"/>
                <w:color w:val="auto"/>
                <w:kern w:val="0"/>
                <w:sz w:val="18"/>
                <w:szCs w:val="18"/>
              </w:rPr>
            </w:pPr>
            <w:r>
              <w:rPr>
                <w:rFonts w:hint="eastAsia" w:ascii="宋体" w:hAnsi="宋体"/>
                <w:color w:val="auto"/>
                <w:kern w:val="0"/>
                <w:sz w:val="18"/>
                <w:szCs w:val="18"/>
              </w:rPr>
              <w:t>焚烧</w:t>
            </w:r>
            <w:r>
              <w:rPr>
                <w:rFonts w:ascii="宋体" w:hAnsi="宋体"/>
                <w:color w:val="auto"/>
                <w:kern w:val="0"/>
                <w:sz w:val="18"/>
                <w:szCs w:val="18"/>
              </w:rPr>
              <w:t>炉高温段温度（℃）</w:t>
            </w:r>
          </w:p>
        </w:tc>
        <w:tc>
          <w:tcPr>
            <w:tcW w:w="993"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center"/>
              <w:rPr>
                <w:rFonts w:ascii="宋体" w:hAnsi="宋体"/>
                <w:color w:val="auto"/>
                <w:kern w:val="0"/>
                <w:sz w:val="18"/>
                <w:szCs w:val="18"/>
              </w:rPr>
            </w:pPr>
            <w:r>
              <w:rPr>
                <w:rFonts w:ascii="宋体" w:hAnsi="宋体"/>
                <w:color w:val="auto"/>
                <w:kern w:val="0"/>
                <w:sz w:val="18"/>
                <w:szCs w:val="18"/>
              </w:rPr>
              <w:t>烟气停留时间（s）</w:t>
            </w:r>
          </w:p>
        </w:tc>
        <w:tc>
          <w:tcPr>
            <w:tcW w:w="1417"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center"/>
              <w:rPr>
                <w:rFonts w:ascii="宋体" w:hAnsi="宋体"/>
                <w:color w:val="auto"/>
                <w:kern w:val="0"/>
                <w:sz w:val="18"/>
                <w:szCs w:val="18"/>
              </w:rPr>
            </w:pPr>
            <w:r>
              <w:rPr>
                <w:rFonts w:ascii="宋体" w:hAnsi="宋体"/>
                <w:color w:val="auto"/>
                <w:kern w:val="0"/>
                <w:sz w:val="18"/>
                <w:szCs w:val="18"/>
              </w:rPr>
              <w:t>烟气含氧量（干烟气，烟囱取样口）</w:t>
            </w:r>
          </w:p>
        </w:tc>
        <w:tc>
          <w:tcPr>
            <w:tcW w:w="2030" w:type="dxa"/>
            <w:gridSpan w:val="2"/>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center"/>
              <w:rPr>
                <w:rFonts w:ascii="宋体" w:hAnsi="宋体"/>
                <w:color w:val="auto"/>
                <w:kern w:val="0"/>
                <w:sz w:val="18"/>
                <w:szCs w:val="18"/>
              </w:rPr>
            </w:pPr>
            <w:r>
              <w:rPr>
                <w:rFonts w:ascii="宋体" w:hAnsi="宋体"/>
                <w:color w:val="auto"/>
                <w:kern w:val="0"/>
                <w:sz w:val="18"/>
                <w:szCs w:val="18"/>
              </w:rPr>
              <w:t>烟气一氧化碳浓度（mg/m</w:t>
            </w:r>
            <w:r>
              <w:rPr>
                <w:rFonts w:ascii="宋体" w:hAnsi="宋体"/>
                <w:color w:val="auto"/>
                <w:kern w:val="0"/>
                <w:sz w:val="18"/>
                <w:szCs w:val="18"/>
                <w:vertAlign w:val="superscript"/>
              </w:rPr>
              <w:t>3</w:t>
            </w:r>
            <w:r>
              <w:rPr>
                <w:rFonts w:ascii="宋体" w:hAnsi="宋体"/>
                <w:color w:val="auto"/>
                <w:kern w:val="0"/>
                <w:sz w:val="18"/>
                <w:szCs w:val="18"/>
              </w:rPr>
              <w:t>）</w:t>
            </w:r>
          </w:p>
          <w:p>
            <w:pPr>
              <w:widowControl/>
              <w:adjustRightInd w:val="0"/>
              <w:snapToGrid w:val="0"/>
              <w:jc w:val="center"/>
              <w:rPr>
                <w:rFonts w:ascii="宋体" w:hAnsi="宋体"/>
                <w:color w:val="auto"/>
                <w:kern w:val="0"/>
                <w:sz w:val="18"/>
                <w:szCs w:val="18"/>
              </w:rPr>
            </w:pPr>
            <w:r>
              <w:rPr>
                <w:rFonts w:ascii="宋体" w:hAnsi="宋体"/>
                <w:color w:val="auto"/>
                <w:kern w:val="0"/>
                <w:sz w:val="18"/>
                <w:szCs w:val="18"/>
              </w:rPr>
              <w:t>（烟囱取样口）</w:t>
            </w:r>
          </w:p>
        </w:tc>
        <w:tc>
          <w:tcPr>
            <w:tcW w:w="983"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center"/>
              <w:rPr>
                <w:rFonts w:ascii="宋体" w:hAnsi="宋体"/>
                <w:color w:val="auto"/>
                <w:kern w:val="0"/>
                <w:sz w:val="18"/>
                <w:szCs w:val="18"/>
              </w:rPr>
            </w:pPr>
            <w:r>
              <w:rPr>
                <w:rFonts w:ascii="宋体" w:hAnsi="宋体"/>
                <w:color w:val="auto"/>
                <w:kern w:val="0"/>
                <w:sz w:val="18"/>
                <w:szCs w:val="18"/>
              </w:rPr>
              <w:t>燃烧效率</w:t>
            </w:r>
          </w:p>
        </w:tc>
        <w:tc>
          <w:tcPr>
            <w:tcW w:w="956"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center"/>
              <w:rPr>
                <w:rFonts w:ascii="宋体" w:hAnsi="宋体"/>
                <w:color w:val="auto"/>
                <w:kern w:val="0"/>
                <w:sz w:val="18"/>
                <w:szCs w:val="18"/>
              </w:rPr>
            </w:pPr>
            <w:r>
              <w:rPr>
                <w:rFonts w:ascii="宋体" w:hAnsi="宋体"/>
                <w:color w:val="auto"/>
                <w:kern w:val="0"/>
                <w:sz w:val="18"/>
                <w:szCs w:val="18"/>
              </w:rPr>
              <w:t>热灼减率</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583" w:type="dxa"/>
            <w:vMerge w:val="restart"/>
            <w:tcBorders>
              <w:top w:val="single" w:color="auto" w:sz="4" w:space="0"/>
              <w:left w:val="single" w:color="auto" w:sz="4" w:space="0"/>
              <w:right w:val="single" w:color="auto" w:sz="4" w:space="0"/>
            </w:tcBorders>
            <w:vAlign w:val="center"/>
          </w:tcPr>
          <w:p>
            <w:pPr>
              <w:widowControl/>
              <w:adjustRightInd w:val="0"/>
              <w:snapToGrid w:val="0"/>
              <w:jc w:val="center"/>
              <w:rPr>
                <w:rFonts w:ascii="宋体" w:hAnsi="宋体"/>
                <w:color w:val="auto"/>
                <w:kern w:val="0"/>
                <w:sz w:val="24"/>
              </w:rPr>
            </w:pPr>
            <w:r>
              <w:rPr>
                <w:rFonts w:ascii="宋体" w:hAnsi="宋体"/>
                <w:color w:val="auto"/>
                <w:kern w:val="0"/>
                <w:sz w:val="18"/>
                <w:szCs w:val="18"/>
              </w:rPr>
              <w:t>限值</w:t>
            </w:r>
          </w:p>
        </w:tc>
        <w:tc>
          <w:tcPr>
            <w:tcW w:w="1113" w:type="dxa"/>
            <w:vMerge w:val="restart"/>
            <w:tcBorders>
              <w:top w:val="single" w:color="auto" w:sz="4" w:space="0"/>
              <w:left w:val="single" w:color="auto" w:sz="4" w:space="0"/>
              <w:right w:val="single" w:color="auto" w:sz="4" w:space="0"/>
            </w:tcBorders>
            <w:vAlign w:val="center"/>
          </w:tcPr>
          <w:p>
            <w:pPr>
              <w:widowControl/>
              <w:adjustRightInd w:val="0"/>
              <w:snapToGrid w:val="0"/>
              <w:jc w:val="center"/>
              <w:rPr>
                <w:rFonts w:ascii="宋体" w:hAnsi="宋体"/>
                <w:color w:val="auto"/>
                <w:kern w:val="0"/>
                <w:sz w:val="24"/>
              </w:rPr>
            </w:pPr>
            <w:r>
              <w:rPr>
                <w:rFonts w:ascii="宋体" w:hAnsi="宋体"/>
                <w:color w:val="auto"/>
                <w:kern w:val="0"/>
                <w:sz w:val="18"/>
                <w:szCs w:val="18"/>
              </w:rPr>
              <w:t>≥850</w:t>
            </w:r>
          </w:p>
        </w:tc>
        <w:tc>
          <w:tcPr>
            <w:tcW w:w="993" w:type="dxa"/>
            <w:vMerge w:val="restart"/>
            <w:tcBorders>
              <w:top w:val="single" w:color="auto" w:sz="4" w:space="0"/>
              <w:left w:val="single" w:color="auto" w:sz="4" w:space="0"/>
              <w:right w:val="single" w:color="auto" w:sz="4" w:space="0"/>
            </w:tcBorders>
            <w:vAlign w:val="center"/>
          </w:tcPr>
          <w:p>
            <w:pPr>
              <w:widowControl/>
              <w:adjustRightInd w:val="0"/>
              <w:snapToGrid w:val="0"/>
              <w:jc w:val="center"/>
              <w:rPr>
                <w:rFonts w:ascii="宋体" w:hAnsi="宋体"/>
                <w:color w:val="auto"/>
                <w:kern w:val="0"/>
                <w:sz w:val="24"/>
              </w:rPr>
            </w:pPr>
            <w:r>
              <w:rPr>
                <w:rFonts w:ascii="宋体" w:hAnsi="宋体"/>
                <w:color w:val="auto"/>
                <w:kern w:val="0"/>
                <w:sz w:val="18"/>
                <w:szCs w:val="18"/>
              </w:rPr>
              <w:t>≥2.0</w:t>
            </w:r>
          </w:p>
        </w:tc>
        <w:tc>
          <w:tcPr>
            <w:tcW w:w="1417" w:type="dxa"/>
            <w:vMerge w:val="restart"/>
            <w:tcBorders>
              <w:top w:val="single" w:color="auto" w:sz="4" w:space="0"/>
              <w:left w:val="single" w:color="auto" w:sz="4" w:space="0"/>
              <w:right w:val="single" w:color="auto" w:sz="4" w:space="0"/>
            </w:tcBorders>
            <w:vAlign w:val="center"/>
          </w:tcPr>
          <w:p>
            <w:pPr>
              <w:widowControl/>
              <w:adjustRightInd w:val="0"/>
              <w:snapToGrid w:val="0"/>
              <w:jc w:val="center"/>
              <w:rPr>
                <w:rFonts w:ascii="宋体" w:hAnsi="宋体"/>
                <w:color w:val="auto"/>
                <w:kern w:val="0"/>
                <w:sz w:val="24"/>
              </w:rPr>
            </w:pPr>
            <w:r>
              <w:rPr>
                <w:rFonts w:ascii="宋体" w:hAnsi="宋体"/>
                <w:color w:val="auto"/>
                <w:kern w:val="0"/>
                <w:sz w:val="18"/>
                <w:szCs w:val="18"/>
              </w:rPr>
              <w:t>6%～15%</w:t>
            </w:r>
          </w:p>
        </w:tc>
        <w:tc>
          <w:tcPr>
            <w:tcW w:w="851"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center"/>
              <w:rPr>
                <w:rFonts w:ascii="宋体" w:hAnsi="宋体"/>
                <w:color w:val="auto"/>
                <w:kern w:val="0"/>
                <w:sz w:val="24"/>
              </w:rPr>
            </w:pPr>
            <w:r>
              <w:rPr>
                <w:rFonts w:ascii="宋体" w:hAnsi="宋体"/>
                <w:color w:val="auto"/>
                <w:kern w:val="0"/>
                <w:sz w:val="18"/>
                <w:szCs w:val="18"/>
              </w:rPr>
              <w:t>1小时均值</w:t>
            </w:r>
          </w:p>
        </w:tc>
        <w:tc>
          <w:tcPr>
            <w:tcW w:w="1179"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center"/>
              <w:rPr>
                <w:rFonts w:ascii="宋体" w:hAnsi="宋体"/>
                <w:color w:val="auto"/>
                <w:kern w:val="0"/>
                <w:sz w:val="18"/>
                <w:szCs w:val="18"/>
              </w:rPr>
            </w:pPr>
            <w:r>
              <w:rPr>
                <w:rFonts w:ascii="宋体" w:hAnsi="宋体"/>
                <w:color w:val="auto"/>
                <w:kern w:val="0"/>
                <w:sz w:val="18"/>
                <w:szCs w:val="18"/>
              </w:rPr>
              <w:t>24小时均值或日均值</w:t>
            </w:r>
          </w:p>
        </w:tc>
        <w:tc>
          <w:tcPr>
            <w:tcW w:w="983" w:type="dxa"/>
            <w:vMerge w:val="restart"/>
            <w:tcBorders>
              <w:top w:val="single" w:color="auto" w:sz="4" w:space="0"/>
              <w:left w:val="single" w:color="auto" w:sz="4" w:space="0"/>
              <w:right w:val="single" w:color="auto" w:sz="4" w:space="0"/>
            </w:tcBorders>
            <w:vAlign w:val="center"/>
          </w:tcPr>
          <w:p>
            <w:pPr>
              <w:widowControl/>
              <w:adjustRightInd w:val="0"/>
              <w:snapToGrid w:val="0"/>
              <w:jc w:val="center"/>
              <w:rPr>
                <w:rFonts w:ascii="宋体" w:hAnsi="宋体"/>
                <w:color w:val="auto"/>
                <w:kern w:val="0"/>
                <w:sz w:val="24"/>
              </w:rPr>
            </w:pPr>
            <w:r>
              <w:rPr>
                <w:rFonts w:ascii="宋体" w:hAnsi="宋体"/>
                <w:color w:val="auto"/>
                <w:kern w:val="0"/>
                <w:sz w:val="18"/>
                <w:szCs w:val="18"/>
              </w:rPr>
              <w:t>≥99.9%</w:t>
            </w:r>
          </w:p>
        </w:tc>
        <w:tc>
          <w:tcPr>
            <w:tcW w:w="956" w:type="dxa"/>
            <w:vMerge w:val="restart"/>
            <w:tcBorders>
              <w:top w:val="single" w:color="auto" w:sz="4" w:space="0"/>
              <w:left w:val="single" w:color="auto" w:sz="4" w:space="0"/>
              <w:right w:val="single" w:color="auto" w:sz="4" w:space="0"/>
            </w:tcBorders>
            <w:vAlign w:val="center"/>
          </w:tcPr>
          <w:p>
            <w:pPr>
              <w:widowControl/>
              <w:adjustRightInd w:val="0"/>
              <w:snapToGrid w:val="0"/>
              <w:jc w:val="center"/>
              <w:rPr>
                <w:rFonts w:ascii="宋体" w:hAnsi="宋体"/>
                <w:color w:val="auto"/>
                <w:kern w:val="0"/>
                <w:sz w:val="24"/>
              </w:rPr>
            </w:pPr>
            <w:r>
              <w:rPr>
                <w:rFonts w:ascii="宋体" w:hAnsi="宋体"/>
                <w:color w:val="auto"/>
                <w:kern w:val="0"/>
                <w:sz w:val="18"/>
                <w:szCs w:val="18"/>
              </w:rPr>
              <w:t>＜5%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27" w:hRule="atLeast"/>
          <w:jc w:val="center"/>
        </w:trPr>
        <w:tc>
          <w:tcPr>
            <w:tcW w:w="583" w:type="dxa"/>
            <w:vMerge w:val="continue"/>
            <w:tcBorders>
              <w:left w:val="single" w:color="auto" w:sz="4" w:space="0"/>
              <w:bottom w:val="single" w:color="auto" w:sz="4" w:space="0"/>
              <w:right w:val="single" w:color="auto" w:sz="4" w:space="0"/>
            </w:tcBorders>
            <w:vAlign w:val="center"/>
          </w:tcPr>
          <w:p>
            <w:pPr>
              <w:widowControl/>
              <w:adjustRightInd w:val="0"/>
              <w:snapToGrid w:val="0"/>
              <w:jc w:val="left"/>
              <w:rPr>
                <w:rFonts w:ascii="宋体" w:hAnsi="宋体"/>
                <w:color w:val="auto"/>
                <w:kern w:val="0"/>
                <w:sz w:val="24"/>
              </w:rPr>
            </w:pPr>
          </w:p>
        </w:tc>
        <w:tc>
          <w:tcPr>
            <w:tcW w:w="1113" w:type="dxa"/>
            <w:vMerge w:val="continue"/>
            <w:tcBorders>
              <w:left w:val="single" w:color="auto" w:sz="4" w:space="0"/>
              <w:bottom w:val="single" w:color="auto" w:sz="4" w:space="0"/>
              <w:right w:val="single" w:color="auto" w:sz="4" w:space="0"/>
            </w:tcBorders>
            <w:vAlign w:val="center"/>
          </w:tcPr>
          <w:p>
            <w:pPr>
              <w:widowControl/>
              <w:adjustRightInd w:val="0"/>
              <w:snapToGrid w:val="0"/>
              <w:jc w:val="left"/>
              <w:rPr>
                <w:rFonts w:ascii="宋体" w:hAnsi="宋体"/>
                <w:color w:val="auto"/>
                <w:kern w:val="0"/>
                <w:sz w:val="24"/>
              </w:rPr>
            </w:pPr>
          </w:p>
        </w:tc>
        <w:tc>
          <w:tcPr>
            <w:tcW w:w="993" w:type="dxa"/>
            <w:vMerge w:val="continue"/>
            <w:tcBorders>
              <w:left w:val="single" w:color="auto" w:sz="4" w:space="0"/>
              <w:bottom w:val="single" w:color="auto" w:sz="6" w:space="0"/>
              <w:right w:val="single" w:color="auto" w:sz="4" w:space="0"/>
            </w:tcBorders>
            <w:vAlign w:val="center"/>
          </w:tcPr>
          <w:p>
            <w:pPr>
              <w:widowControl/>
              <w:adjustRightInd w:val="0"/>
              <w:snapToGrid w:val="0"/>
              <w:jc w:val="left"/>
              <w:rPr>
                <w:rFonts w:ascii="宋体" w:hAnsi="宋体"/>
                <w:color w:val="auto"/>
                <w:kern w:val="0"/>
                <w:sz w:val="20"/>
                <w:szCs w:val="20"/>
              </w:rPr>
            </w:pPr>
          </w:p>
        </w:tc>
        <w:tc>
          <w:tcPr>
            <w:tcW w:w="1417" w:type="dxa"/>
            <w:vMerge w:val="continue"/>
            <w:tcBorders>
              <w:left w:val="single" w:color="auto" w:sz="4" w:space="0"/>
              <w:bottom w:val="single" w:color="auto" w:sz="6" w:space="0"/>
              <w:right w:val="single" w:color="auto" w:sz="4" w:space="0"/>
            </w:tcBorders>
            <w:vAlign w:val="center"/>
          </w:tcPr>
          <w:p>
            <w:pPr>
              <w:widowControl/>
              <w:adjustRightInd w:val="0"/>
              <w:snapToGrid w:val="0"/>
              <w:jc w:val="left"/>
              <w:rPr>
                <w:rFonts w:ascii="宋体" w:hAnsi="宋体"/>
                <w:color w:val="auto"/>
                <w:kern w:val="0"/>
                <w:sz w:val="20"/>
                <w:szCs w:val="20"/>
              </w:rPr>
            </w:pPr>
          </w:p>
        </w:tc>
        <w:tc>
          <w:tcPr>
            <w:tcW w:w="851" w:type="dxa"/>
            <w:tcBorders>
              <w:left w:val="single" w:color="auto" w:sz="4" w:space="0"/>
              <w:bottom w:val="single" w:color="auto" w:sz="6" w:space="0"/>
            </w:tcBorders>
            <w:vAlign w:val="center"/>
          </w:tcPr>
          <w:p>
            <w:pPr>
              <w:widowControl/>
              <w:adjustRightInd w:val="0"/>
              <w:snapToGrid w:val="0"/>
              <w:jc w:val="center"/>
              <w:rPr>
                <w:rFonts w:ascii="宋体" w:hAnsi="宋体"/>
                <w:color w:val="auto"/>
                <w:kern w:val="0"/>
                <w:sz w:val="20"/>
                <w:szCs w:val="20"/>
              </w:rPr>
            </w:pPr>
            <w:r>
              <w:rPr>
                <w:rFonts w:ascii="宋体" w:hAnsi="宋体"/>
                <w:color w:val="auto"/>
                <w:kern w:val="0"/>
                <w:sz w:val="18"/>
                <w:szCs w:val="18"/>
              </w:rPr>
              <w:t>≤100</w:t>
            </w:r>
          </w:p>
        </w:tc>
        <w:tc>
          <w:tcPr>
            <w:tcW w:w="1179" w:type="dxa"/>
            <w:tcBorders>
              <w:bottom w:val="single" w:color="auto" w:sz="6" w:space="0"/>
              <w:right w:val="single" w:color="auto" w:sz="4" w:space="0"/>
            </w:tcBorders>
            <w:vAlign w:val="center"/>
          </w:tcPr>
          <w:p>
            <w:pPr>
              <w:widowControl/>
              <w:adjustRightInd w:val="0"/>
              <w:snapToGrid w:val="0"/>
              <w:jc w:val="center"/>
              <w:rPr>
                <w:rFonts w:ascii="宋体" w:hAnsi="宋体"/>
                <w:color w:val="auto"/>
                <w:kern w:val="0"/>
                <w:sz w:val="18"/>
                <w:szCs w:val="18"/>
              </w:rPr>
            </w:pPr>
            <w:r>
              <w:rPr>
                <w:rFonts w:ascii="宋体" w:hAnsi="宋体"/>
                <w:color w:val="auto"/>
                <w:kern w:val="0"/>
                <w:sz w:val="18"/>
                <w:szCs w:val="18"/>
              </w:rPr>
              <w:t>≤80</w:t>
            </w:r>
          </w:p>
        </w:tc>
        <w:tc>
          <w:tcPr>
            <w:tcW w:w="983" w:type="dxa"/>
            <w:vMerge w:val="continue"/>
            <w:tcBorders>
              <w:left w:val="single" w:color="auto" w:sz="4" w:space="0"/>
              <w:bottom w:val="single" w:color="auto" w:sz="6" w:space="0"/>
              <w:right w:val="single" w:color="auto" w:sz="4" w:space="0"/>
            </w:tcBorders>
            <w:vAlign w:val="center"/>
          </w:tcPr>
          <w:p>
            <w:pPr>
              <w:widowControl/>
              <w:adjustRightInd w:val="0"/>
              <w:snapToGrid w:val="0"/>
              <w:jc w:val="left"/>
              <w:rPr>
                <w:rFonts w:ascii="宋体" w:hAnsi="宋体"/>
                <w:color w:val="auto"/>
                <w:kern w:val="0"/>
                <w:sz w:val="20"/>
                <w:szCs w:val="20"/>
              </w:rPr>
            </w:pPr>
          </w:p>
        </w:tc>
        <w:tc>
          <w:tcPr>
            <w:tcW w:w="956" w:type="dxa"/>
            <w:vMerge w:val="continue"/>
            <w:tcBorders>
              <w:left w:val="single" w:color="auto" w:sz="4" w:space="0"/>
              <w:bottom w:val="single" w:color="auto" w:sz="6" w:space="0"/>
              <w:right w:val="single" w:color="auto" w:sz="4" w:space="0"/>
            </w:tcBorders>
            <w:vAlign w:val="center"/>
          </w:tcPr>
          <w:p>
            <w:pPr>
              <w:widowControl/>
              <w:adjustRightInd w:val="0"/>
              <w:snapToGrid w:val="0"/>
              <w:jc w:val="left"/>
              <w:rPr>
                <w:rFonts w:ascii="宋体" w:hAnsi="宋体"/>
                <w:color w:val="auto"/>
                <w:kern w:val="0"/>
                <w:sz w:val="20"/>
                <w:szCs w:val="20"/>
              </w:rPr>
            </w:pPr>
          </w:p>
        </w:tc>
      </w:tr>
    </w:tbl>
    <w:p>
      <w:pPr>
        <w:pStyle w:val="32"/>
        <w:ind w:firstLine="0" w:firstLineChars="0"/>
        <w:rPr>
          <w:color w:val="auto"/>
        </w:rPr>
      </w:pPr>
    </w:p>
    <w:p>
      <w:pPr>
        <w:pStyle w:val="32"/>
        <w:ind w:firstLine="480"/>
        <w:rPr>
          <w:color w:val="auto"/>
        </w:rPr>
      </w:pPr>
      <w:r>
        <w:rPr>
          <w:rFonts w:hint="eastAsia"/>
          <w:color w:val="auto"/>
        </w:rPr>
        <w:t>参照GB39707，处置化学性、药物性废物时应满足《危险废物焚烧污染控制标准》（GB</w:t>
      </w:r>
      <w:r>
        <w:rPr>
          <w:color w:val="auto"/>
        </w:rPr>
        <w:t xml:space="preserve"> </w:t>
      </w:r>
      <w:r>
        <w:rPr>
          <w:rFonts w:hint="eastAsia"/>
          <w:color w:val="auto"/>
        </w:rPr>
        <w:t>18484）的要求，气化炉高温段温度应达到1100℃。按照《医疗废物分类目录》（2021年版）的规定，“药物性废物和化学性废物可分别按照《国家危险废物名录》中HW03和HW49类进行处置”。GB</w:t>
      </w:r>
      <w:r>
        <w:rPr>
          <w:color w:val="auto"/>
        </w:rPr>
        <w:t xml:space="preserve"> 18484</w:t>
      </w:r>
      <w:r>
        <w:rPr>
          <w:rFonts w:hint="eastAsia"/>
          <w:color w:val="auto"/>
        </w:rPr>
        <w:t>中表1危险废物焚烧炉的技术性能指标要求：</w:t>
      </w:r>
    </w:p>
    <w:p>
      <w:pPr>
        <w:pStyle w:val="23"/>
        <w:numPr>
          <w:ilvl w:val="0"/>
          <w:numId w:val="11"/>
        </w:numPr>
        <w:spacing w:line="336" w:lineRule="auto"/>
        <w:ind w:firstLineChars="0"/>
        <w:jc w:val="center"/>
        <w:rPr>
          <w:rFonts w:ascii="Times New Roman" w:hAnsi="Times New Roman" w:eastAsia="宋体" w:cs="Times New Roman"/>
          <w:b/>
          <w:color w:val="auto"/>
          <w:kern w:val="0"/>
          <w:szCs w:val="21"/>
        </w:rPr>
      </w:pPr>
      <w:r>
        <w:rPr>
          <w:rFonts w:hint="eastAsia" w:ascii="Times New Roman" w:hAnsi="Times New Roman" w:eastAsia="宋体" w:cs="Times New Roman"/>
          <w:b/>
          <w:color w:val="auto"/>
          <w:kern w:val="0"/>
          <w:szCs w:val="21"/>
        </w:rPr>
        <w:t>危险</w:t>
      </w:r>
      <w:r>
        <w:rPr>
          <w:rFonts w:ascii="Times New Roman" w:hAnsi="Times New Roman" w:eastAsia="宋体" w:cs="Times New Roman"/>
          <w:b/>
          <w:color w:val="auto"/>
          <w:kern w:val="0"/>
          <w:szCs w:val="21"/>
        </w:rPr>
        <w:t>废物</w:t>
      </w:r>
      <w:r>
        <w:rPr>
          <w:rFonts w:hint="eastAsia" w:ascii="Times New Roman" w:hAnsi="Times New Roman" w:eastAsia="宋体" w:cs="Times New Roman"/>
          <w:b/>
          <w:color w:val="auto"/>
          <w:kern w:val="0"/>
          <w:szCs w:val="21"/>
        </w:rPr>
        <w:t>焚烧</w:t>
      </w:r>
      <w:r>
        <w:rPr>
          <w:rFonts w:ascii="Times New Roman" w:hAnsi="Times New Roman" w:eastAsia="宋体" w:cs="Times New Roman"/>
          <w:b/>
          <w:color w:val="auto"/>
          <w:kern w:val="0"/>
          <w:szCs w:val="21"/>
        </w:rPr>
        <w:t>炉的技术性能指标</w:t>
      </w:r>
    </w:p>
    <w:tbl>
      <w:tblPr>
        <w:tblStyle w:val="16"/>
        <w:tblW w:w="8296"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539"/>
        <w:gridCol w:w="1030"/>
        <w:gridCol w:w="803"/>
        <w:gridCol w:w="1327"/>
        <w:gridCol w:w="803"/>
        <w:gridCol w:w="1119"/>
        <w:gridCol w:w="874"/>
        <w:gridCol w:w="979"/>
        <w:gridCol w:w="822"/>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549"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指标</w:t>
            </w:r>
          </w:p>
        </w:tc>
        <w:tc>
          <w:tcPr>
            <w:tcW w:w="1046"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center"/>
              <w:rPr>
                <w:rFonts w:ascii="Times New Roman" w:hAnsi="Times New Roman" w:eastAsia="宋体" w:cs="Times New Roman"/>
                <w:color w:val="auto"/>
                <w:kern w:val="0"/>
                <w:szCs w:val="21"/>
              </w:rPr>
            </w:pPr>
            <w:r>
              <w:rPr>
                <w:rFonts w:hint="eastAsia" w:ascii="Times New Roman" w:hAnsi="Times New Roman" w:eastAsia="宋体" w:cs="Times New Roman"/>
                <w:color w:val="auto"/>
                <w:kern w:val="0"/>
                <w:szCs w:val="21"/>
              </w:rPr>
              <w:t>焚烧</w:t>
            </w:r>
            <w:r>
              <w:rPr>
                <w:rFonts w:ascii="Times New Roman" w:hAnsi="Times New Roman" w:eastAsia="宋体" w:cs="Times New Roman"/>
                <w:color w:val="auto"/>
                <w:kern w:val="0"/>
                <w:szCs w:val="21"/>
              </w:rPr>
              <w:t>炉高温段温度（℃）</w:t>
            </w:r>
          </w:p>
        </w:tc>
        <w:tc>
          <w:tcPr>
            <w:tcW w:w="810"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烟气停留时间（s）</w:t>
            </w:r>
          </w:p>
        </w:tc>
        <w:tc>
          <w:tcPr>
            <w:tcW w:w="1382"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烟气含氧量（干烟气，烟囱取样口）</w:t>
            </w:r>
          </w:p>
        </w:tc>
        <w:tc>
          <w:tcPr>
            <w:tcW w:w="1985" w:type="dxa"/>
            <w:gridSpan w:val="2"/>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烟气一氧化碳浓度（mg/m</w:t>
            </w:r>
            <w:r>
              <w:rPr>
                <w:rFonts w:ascii="Times New Roman" w:hAnsi="Times New Roman" w:eastAsia="宋体" w:cs="Times New Roman"/>
                <w:color w:val="auto"/>
                <w:kern w:val="0"/>
                <w:szCs w:val="21"/>
                <w:vertAlign w:val="superscript"/>
              </w:rPr>
              <w:t>3</w:t>
            </w:r>
            <w:r>
              <w:rPr>
                <w:rFonts w:ascii="Times New Roman" w:hAnsi="Times New Roman" w:eastAsia="宋体" w:cs="Times New Roman"/>
                <w:color w:val="auto"/>
                <w:kern w:val="0"/>
                <w:szCs w:val="21"/>
              </w:rPr>
              <w:t>）</w:t>
            </w:r>
          </w:p>
          <w:p>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（烟囱取样口）</w:t>
            </w:r>
          </w:p>
        </w:tc>
        <w:tc>
          <w:tcPr>
            <w:tcW w:w="854"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燃烧效率</w:t>
            </w:r>
          </w:p>
        </w:tc>
        <w:tc>
          <w:tcPr>
            <w:tcW w:w="819"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center"/>
              <w:rPr>
                <w:rFonts w:ascii="Times New Roman" w:hAnsi="Times New Roman" w:eastAsia="宋体" w:cs="Times New Roman"/>
                <w:color w:val="auto"/>
                <w:kern w:val="0"/>
                <w:szCs w:val="21"/>
              </w:rPr>
            </w:pPr>
            <w:r>
              <w:rPr>
                <w:rFonts w:hint="eastAsia" w:ascii="Times New Roman" w:hAnsi="Times New Roman" w:eastAsia="宋体" w:cs="Times New Roman"/>
                <w:color w:val="auto"/>
                <w:kern w:val="0"/>
                <w:szCs w:val="21"/>
              </w:rPr>
              <w:t>焚毁去除率</w:t>
            </w:r>
          </w:p>
        </w:tc>
        <w:tc>
          <w:tcPr>
            <w:tcW w:w="851"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热灼减率</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549" w:type="dxa"/>
            <w:vMerge w:val="restart"/>
            <w:tcBorders>
              <w:top w:val="single" w:color="auto" w:sz="4" w:space="0"/>
              <w:left w:val="single" w:color="auto" w:sz="4" w:space="0"/>
              <w:right w:val="single" w:color="auto" w:sz="4" w:space="0"/>
            </w:tcBorders>
            <w:vAlign w:val="center"/>
          </w:tcPr>
          <w:p>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限值</w:t>
            </w:r>
          </w:p>
        </w:tc>
        <w:tc>
          <w:tcPr>
            <w:tcW w:w="1046" w:type="dxa"/>
            <w:vMerge w:val="restart"/>
            <w:tcBorders>
              <w:top w:val="single" w:color="auto" w:sz="4" w:space="0"/>
              <w:left w:val="single" w:color="auto" w:sz="4" w:space="0"/>
              <w:right w:val="single" w:color="auto" w:sz="4" w:space="0"/>
            </w:tcBorders>
            <w:vAlign w:val="center"/>
          </w:tcPr>
          <w:p>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≥1100</w:t>
            </w:r>
          </w:p>
        </w:tc>
        <w:tc>
          <w:tcPr>
            <w:tcW w:w="810" w:type="dxa"/>
            <w:vMerge w:val="restart"/>
            <w:tcBorders>
              <w:top w:val="single" w:color="auto" w:sz="4" w:space="0"/>
              <w:left w:val="single" w:color="auto" w:sz="4" w:space="0"/>
              <w:right w:val="single" w:color="auto" w:sz="4" w:space="0"/>
            </w:tcBorders>
            <w:vAlign w:val="center"/>
          </w:tcPr>
          <w:p>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≥2.0</w:t>
            </w:r>
          </w:p>
        </w:tc>
        <w:tc>
          <w:tcPr>
            <w:tcW w:w="1382" w:type="dxa"/>
            <w:vMerge w:val="restart"/>
            <w:tcBorders>
              <w:top w:val="single" w:color="auto" w:sz="4" w:space="0"/>
              <w:left w:val="single" w:color="auto" w:sz="4" w:space="0"/>
              <w:right w:val="single" w:color="auto" w:sz="4" w:space="0"/>
            </w:tcBorders>
            <w:vAlign w:val="center"/>
          </w:tcPr>
          <w:p>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6%～15%</w:t>
            </w:r>
          </w:p>
        </w:tc>
        <w:tc>
          <w:tcPr>
            <w:tcW w:w="816"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1小时均值</w:t>
            </w:r>
          </w:p>
        </w:tc>
        <w:tc>
          <w:tcPr>
            <w:tcW w:w="1169"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24小时均值或日均值</w:t>
            </w:r>
          </w:p>
        </w:tc>
        <w:tc>
          <w:tcPr>
            <w:tcW w:w="854" w:type="dxa"/>
            <w:vMerge w:val="restart"/>
            <w:tcBorders>
              <w:top w:val="single" w:color="auto" w:sz="4" w:space="0"/>
              <w:left w:val="single" w:color="auto" w:sz="4" w:space="0"/>
              <w:right w:val="single" w:color="auto" w:sz="4" w:space="0"/>
            </w:tcBorders>
            <w:vAlign w:val="center"/>
          </w:tcPr>
          <w:p>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≥99.9%</w:t>
            </w:r>
          </w:p>
        </w:tc>
        <w:tc>
          <w:tcPr>
            <w:tcW w:w="819" w:type="dxa"/>
            <w:vMerge w:val="restart"/>
            <w:tcBorders>
              <w:top w:val="single" w:color="auto" w:sz="4" w:space="0"/>
              <w:left w:val="single" w:color="auto" w:sz="4" w:space="0"/>
              <w:right w:val="single" w:color="auto" w:sz="4" w:space="0"/>
            </w:tcBorders>
            <w:vAlign w:val="center"/>
          </w:tcPr>
          <w:p>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≥99.99%</w:t>
            </w:r>
          </w:p>
        </w:tc>
        <w:tc>
          <w:tcPr>
            <w:tcW w:w="851" w:type="dxa"/>
            <w:vMerge w:val="restart"/>
            <w:tcBorders>
              <w:top w:val="single" w:color="auto" w:sz="4" w:space="0"/>
              <w:left w:val="single" w:color="auto" w:sz="4" w:space="0"/>
              <w:right w:val="single" w:color="auto" w:sz="4" w:space="0"/>
            </w:tcBorders>
            <w:vAlign w:val="center"/>
          </w:tcPr>
          <w:p>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27" w:hRule="atLeast"/>
          <w:jc w:val="center"/>
        </w:trPr>
        <w:tc>
          <w:tcPr>
            <w:tcW w:w="549" w:type="dxa"/>
            <w:vMerge w:val="continue"/>
            <w:tcBorders>
              <w:left w:val="single" w:color="auto" w:sz="4" w:space="0"/>
              <w:bottom w:val="single" w:color="auto" w:sz="4" w:space="0"/>
              <w:right w:val="single" w:color="auto" w:sz="4" w:space="0"/>
            </w:tcBorders>
            <w:vAlign w:val="center"/>
          </w:tcPr>
          <w:p>
            <w:pPr>
              <w:widowControl/>
              <w:adjustRightInd w:val="0"/>
              <w:snapToGrid w:val="0"/>
              <w:jc w:val="left"/>
              <w:rPr>
                <w:rFonts w:ascii="Times New Roman" w:hAnsi="Times New Roman" w:eastAsia="宋体" w:cs="Times New Roman"/>
                <w:color w:val="auto"/>
                <w:kern w:val="0"/>
                <w:szCs w:val="21"/>
              </w:rPr>
            </w:pPr>
          </w:p>
        </w:tc>
        <w:tc>
          <w:tcPr>
            <w:tcW w:w="1046" w:type="dxa"/>
            <w:vMerge w:val="continue"/>
            <w:tcBorders>
              <w:left w:val="single" w:color="auto" w:sz="4" w:space="0"/>
              <w:bottom w:val="single" w:color="auto" w:sz="4" w:space="0"/>
              <w:right w:val="single" w:color="auto" w:sz="4" w:space="0"/>
            </w:tcBorders>
            <w:vAlign w:val="center"/>
          </w:tcPr>
          <w:p>
            <w:pPr>
              <w:widowControl/>
              <w:adjustRightInd w:val="0"/>
              <w:snapToGrid w:val="0"/>
              <w:jc w:val="left"/>
              <w:rPr>
                <w:rFonts w:ascii="Times New Roman" w:hAnsi="Times New Roman" w:eastAsia="宋体" w:cs="Times New Roman"/>
                <w:color w:val="auto"/>
                <w:kern w:val="0"/>
                <w:szCs w:val="21"/>
              </w:rPr>
            </w:pPr>
          </w:p>
        </w:tc>
        <w:tc>
          <w:tcPr>
            <w:tcW w:w="810" w:type="dxa"/>
            <w:vMerge w:val="continue"/>
            <w:tcBorders>
              <w:left w:val="single" w:color="auto" w:sz="4" w:space="0"/>
              <w:bottom w:val="single" w:color="auto" w:sz="6" w:space="0"/>
              <w:right w:val="single" w:color="auto" w:sz="4" w:space="0"/>
            </w:tcBorders>
            <w:vAlign w:val="center"/>
          </w:tcPr>
          <w:p>
            <w:pPr>
              <w:widowControl/>
              <w:adjustRightInd w:val="0"/>
              <w:snapToGrid w:val="0"/>
              <w:jc w:val="left"/>
              <w:rPr>
                <w:rFonts w:ascii="Times New Roman" w:hAnsi="Times New Roman" w:eastAsia="宋体" w:cs="Times New Roman"/>
                <w:color w:val="auto"/>
                <w:kern w:val="0"/>
                <w:szCs w:val="21"/>
              </w:rPr>
            </w:pPr>
          </w:p>
        </w:tc>
        <w:tc>
          <w:tcPr>
            <w:tcW w:w="1382" w:type="dxa"/>
            <w:vMerge w:val="continue"/>
            <w:tcBorders>
              <w:left w:val="single" w:color="auto" w:sz="4" w:space="0"/>
              <w:bottom w:val="single" w:color="auto" w:sz="6" w:space="0"/>
              <w:right w:val="single" w:color="auto" w:sz="4" w:space="0"/>
            </w:tcBorders>
            <w:vAlign w:val="center"/>
          </w:tcPr>
          <w:p>
            <w:pPr>
              <w:widowControl/>
              <w:adjustRightInd w:val="0"/>
              <w:snapToGrid w:val="0"/>
              <w:jc w:val="left"/>
              <w:rPr>
                <w:rFonts w:ascii="Times New Roman" w:hAnsi="Times New Roman" w:eastAsia="宋体" w:cs="Times New Roman"/>
                <w:color w:val="auto"/>
                <w:kern w:val="0"/>
                <w:szCs w:val="21"/>
              </w:rPr>
            </w:pPr>
          </w:p>
        </w:tc>
        <w:tc>
          <w:tcPr>
            <w:tcW w:w="816" w:type="dxa"/>
            <w:tcBorders>
              <w:left w:val="single" w:color="auto" w:sz="4" w:space="0"/>
              <w:bottom w:val="single" w:color="auto" w:sz="6" w:space="0"/>
            </w:tcBorders>
            <w:vAlign w:val="center"/>
          </w:tcPr>
          <w:p>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≤100</w:t>
            </w:r>
          </w:p>
        </w:tc>
        <w:tc>
          <w:tcPr>
            <w:tcW w:w="1169" w:type="dxa"/>
            <w:tcBorders>
              <w:bottom w:val="single" w:color="auto" w:sz="6" w:space="0"/>
              <w:right w:val="single" w:color="auto" w:sz="4" w:space="0"/>
            </w:tcBorders>
            <w:vAlign w:val="center"/>
          </w:tcPr>
          <w:p>
            <w:pPr>
              <w:widowControl/>
              <w:adjustRightInd w:val="0"/>
              <w:snapToGrid w:val="0"/>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≤80</w:t>
            </w:r>
          </w:p>
        </w:tc>
        <w:tc>
          <w:tcPr>
            <w:tcW w:w="854" w:type="dxa"/>
            <w:vMerge w:val="continue"/>
            <w:tcBorders>
              <w:left w:val="single" w:color="auto" w:sz="4" w:space="0"/>
              <w:bottom w:val="single" w:color="auto" w:sz="6" w:space="0"/>
              <w:right w:val="single" w:color="auto" w:sz="4" w:space="0"/>
            </w:tcBorders>
            <w:vAlign w:val="center"/>
          </w:tcPr>
          <w:p>
            <w:pPr>
              <w:widowControl/>
              <w:adjustRightInd w:val="0"/>
              <w:snapToGrid w:val="0"/>
              <w:jc w:val="left"/>
              <w:rPr>
                <w:rFonts w:ascii="Times New Roman" w:hAnsi="Times New Roman" w:eastAsia="宋体" w:cs="Times New Roman"/>
                <w:color w:val="auto"/>
                <w:kern w:val="0"/>
                <w:szCs w:val="21"/>
              </w:rPr>
            </w:pPr>
          </w:p>
        </w:tc>
        <w:tc>
          <w:tcPr>
            <w:tcW w:w="819" w:type="dxa"/>
            <w:vMerge w:val="continue"/>
            <w:tcBorders>
              <w:left w:val="single" w:color="auto" w:sz="4" w:space="0"/>
              <w:bottom w:val="single" w:color="auto" w:sz="6" w:space="0"/>
              <w:right w:val="single" w:color="auto" w:sz="4" w:space="0"/>
            </w:tcBorders>
          </w:tcPr>
          <w:p>
            <w:pPr>
              <w:widowControl/>
              <w:adjustRightInd w:val="0"/>
              <w:snapToGrid w:val="0"/>
              <w:jc w:val="left"/>
              <w:rPr>
                <w:rFonts w:ascii="Times New Roman" w:hAnsi="Times New Roman" w:eastAsia="宋体" w:cs="Times New Roman"/>
                <w:color w:val="auto"/>
                <w:kern w:val="0"/>
                <w:szCs w:val="21"/>
              </w:rPr>
            </w:pPr>
          </w:p>
        </w:tc>
        <w:tc>
          <w:tcPr>
            <w:tcW w:w="851" w:type="dxa"/>
            <w:vMerge w:val="continue"/>
            <w:tcBorders>
              <w:left w:val="single" w:color="auto" w:sz="4" w:space="0"/>
              <w:bottom w:val="single" w:color="auto" w:sz="6" w:space="0"/>
              <w:right w:val="single" w:color="auto" w:sz="4" w:space="0"/>
            </w:tcBorders>
            <w:vAlign w:val="center"/>
          </w:tcPr>
          <w:p>
            <w:pPr>
              <w:widowControl/>
              <w:adjustRightInd w:val="0"/>
              <w:snapToGrid w:val="0"/>
              <w:jc w:val="left"/>
              <w:rPr>
                <w:rFonts w:ascii="Times New Roman" w:hAnsi="Times New Roman" w:eastAsia="宋体" w:cs="Times New Roman"/>
                <w:color w:val="auto"/>
                <w:kern w:val="0"/>
                <w:szCs w:val="21"/>
              </w:rPr>
            </w:pPr>
          </w:p>
        </w:tc>
      </w:tr>
    </w:tbl>
    <w:p>
      <w:pPr>
        <w:pStyle w:val="32"/>
        <w:ind w:firstLine="0" w:firstLineChars="0"/>
        <w:rPr>
          <w:color w:val="auto"/>
        </w:rPr>
      </w:pPr>
    </w:p>
    <w:p>
      <w:pPr>
        <w:pStyle w:val="32"/>
        <w:ind w:firstLine="480"/>
        <w:rPr>
          <w:color w:val="auto"/>
        </w:rPr>
      </w:pPr>
      <w:r>
        <w:rPr>
          <w:color w:val="auto"/>
        </w:rPr>
        <w:t>等离子体发生器为医疗废物处置设施的核心装置，以气化炉为使用载体，对与炉体的适配性要求较高</w:t>
      </w:r>
      <w:r>
        <w:rPr>
          <w:rFonts w:hint="eastAsia"/>
          <w:color w:val="auto"/>
        </w:rPr>
        <w:t>，标准条文5.5.</w:t>
      </w:r>
      <w:r>
        <w:rPr>
          <w:rFonts w:hint="eastAsia"/>
          <w:color w:val="auto"/>
          <w:lang w:val="en-US" w:eastAsia="zh-CN"/>
        </w:rPr>
        <w:t>4</w:t>
      </w:r>
      <w:r>
        <w:rPr>
          <w:rFonts w:hint="eastAsia"/>
          <w:color w:val="auto"/>
        </w:rPr>
        <w:t>规定了气化炉的设计应考虑与等离子体发生器装置的适配性。</w:t>
      </w:r>
    </w:p>
    <w:p>
      <w:pPr>
        <w:pStyle w:val="32"/>
        <w:ind w:firstLine="480"/>
        <w:rPr>
          <w:color w:val="auto"/>
        </w:rPr>
      </w:pPr>
      <w:r>
        <w:rPr>
          <w:rFonts w:hint="eastAsia"/>
          <w:color w:val="auto"/>
        </w:rPr>
        <w:t>标准条文5.5.</w:t>
      </w:r>
      <w:r>
        <w:rPr>
          <w:rFonts w:hint="eastAsia"/>
          <w:color w:val="auto"/>
          <w:lang w:val="en-US" w:eastAsia="zh-CN"/>
        </w:rPr>
        <w:t>5</w:t>
      </w:r>
      <w:r>
        <w:rPr>
          <w:rFonts w:hint="eastAsia"/>
          <w:color w:val="auto"/>
        </w:rPr>
        <w:t>规定了等离子体重整室的设计，</w:t>
      </w:r>
      <w:r>
        <w:rPr>
          <w:rFonts w:hint="eastAsia" w:hAnsi="宋体"/>
          <w:color w:val="auto"/>
          <w:highlight w:val="none"/>
          <w:lang w:val="en-US" w:eastAsia="zh-CN"/>
        </w:rPr>
        <w:t>可采用等离子体重整作为二噁英控制手段，重整室应保持为还原性气氛</w:t>
      </w:r>
      <w:r>
        <w:rPr>
          <w:rFonts w:hint="eastAsia"/>
          <w:color w:val="auto"/>
        </w:rPr>
        <w:t>。</w:t>
      </w:r>
    </w:p>
    <w:p>
      <w:pPr>
        <w:pStyle w:val="32"/>
        <w:ind w:firstLine="480"/>
        <w:rPr>
          <w:color w:val="auto"/>
        </w:rPr>
      </w:pPr>
      <w:r>
        <w:rPr>
          <w:rFonts w:hint="eastAsia"/>
          <w:color w:val="auto"/>
        </w:rPr>
        <w:t>医疗废物经热解气化炉气化后产生的合成气中往往含有大量焦油。等离子体增强焦油重整可利用等离子体炬提供的热量以及催化活化效果增强合成气中焦油的分解。此外，在等离子体作用下，有毒有机物尤其是二噁英类物质等被彻底分解为无毒的小分子物质，二噁英类物质的焚毁去除率可达</w:t>
      </w:r>
      <w:r>
        <w:rPr>
          <w:color w:val="auto"/>
        </w:rPr>
        <w:t>99.9999%，生成物中几乎不包含二噁英</w:t>
      </w:r>
      <w:r>
        <w:rPr>
          <w:rFonts w:hint="eastAsia"/>
          <w:color w:val="auto"/>
        </w:rPr>
        <w:t>类</w:t>
      </w:r>
      <w:r>
        <w:rPr>
          <w:color w:val="auto"/>
        </w:rPr>
        <w:t>前体物，从而抑制了二噁英</w:t>
      </w:r>
      <w:r>
        <w:rPr>
          <w:rFonts w:hint="eastAsia"/>
          <w:color w:val="auto"/>
        </w:rPr>
        <w:t>类物质</w:t>
      </w:r>
      <w:r>
        <w:rPr>
          <w:color w:val="auto"/>
        </w:rPr>
        <w:t>的生成。</w:t>
      </w:r>
    </w:p>
    <w:p>
      <w:pPr>
        <w:pStyle w:val="32"/>
        <w:ind w:firstLine="480"/>
        <w:rPr>
          <w:color w:val="auto"/>
        </w:rPr>
      </w:pPr>
      <w:r>
        <w:rPr>
          <w:rFonts w:hint="eastAsia"/>
          <w:color w:val="auto"/>
        </w:rPr>
        <w:t>国外已有利用等离子体发生器的重整作用去除污染物的相关案例或专利。</w:t>
      </w:r>
    </w:p>
    <w:p>
      <w:pPr>
        <w:pStyle w:val="32"/>
        <w:ind w:firstLine="480"/>
        <w:rPr>
          <w:color w:val="auto"/>
        </w:rPr>
      </w:pPr>
      <w:r>
        <w:rPr>
          <w:rFonts w:hint="eastAsia"/>
          <w:color w:val="auto"/>
        </w:rPr>
        <w:t>（1）</w:t>
      </w:r>
      <w:r>
        <w:rPr>
          <w:color w:val="auto"/>
        </w:rPr>
        <w:t>Radon等离子体增强重整</w:t>
      </w:r>
    </w:p>
    <w:p>
      <w:pPr>
        <w:pStyle w:val="32"/>
        <w:ind w:firstLine="480"/>
        <w:rPr>
          <w:color w:val="auto"/>
        </w:rPr>
      </w:pPr>
      <w:r>
        <w:rPr>
          <w:rFonts w:hint="eastAsia"/>
          <w:color w:val="auto"/>
        </w:rPr>
        <w:t>俄罗斯中低放项目将等离子体炬用于二燃室以去除污染物。等离子体设置于二燃室顶，二燃室前端为前燃烧器，前燃烧室内径小于二燃室内径，有利于提高该段热负荷，增强气体混合。二燃室内氧气分布和颗粒物流线模拟见下图。可见，二燃室中炬射流受烟气影响较小，未冲刷二燃室壁面；颗粒物在前燃烧室中有明显的湍流现象。根据模拟结果，二燃室中等离子体炬可有效降低烟黑含量。</w:t>
      </w:r>
    </w:p>
    <w:p>
      <w:pPr>
        <w:jc w:val="center"/>
        <w:rPr>
          <w:color w:val="auto"/>
        </w:rPr>
      </w:pPr>
      <w:r>
        <w:rPr>
          <w:color w:val="auto"/>
        </w:rPr>
        <w:drawing>
          <wp:inline distT="0" distB="0" distL="114300" distR="114300">
            <wp:extent cx="3870325" cy="2484120"/>
            <wp:effectExtent l="0" t="0" r="0" b="0"/>
            <wp:docPr id="3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4"/>
                    <pic:cNvPicPr>
                      <a:picLocks noChangeAspect="1"/>
                    </pic:cNvPicPr>
                  </pic:nvPicPr>
                  <pic:blipFill>
                    <a:blip r:embed="rId14"/>
                    <a:srcRect t="9057"/>
                    <a:stretch>
                      <a:fillRect/>
                    </a:stretch>
                  </pic:blipFill>
                  <pic:spPr>
                    <a:xfrm>
                      <a:off x="0" y="0"/>
                      <a:ext cx="3920969" cy="2516843"/>
                    </a:xfrm>
                    <a:prstGeom prst="rect">
                      <a:avLst/>
                    </a:prstGeom>
                    <a:noFill/>
                    <a:ln>
                      <a:noFill/>
                    </a:ln>
                  </pic:spPr>
                </pic:pic>
              </a:graphicData>
            </a:graphic>
          </wp:inline>
        </w:drawing>
      </w:r>
    </w:p>
    <w:p>
      <w:pPr>
        <w:pStyle w:val="5"/>
        <w:numPr>
          <w:ilvl w:val="0"/>
          <w:numId w:val="10"/>
        </w:numPr>
        <w:spacing w:line="336" w:lineRule="auto"/>
        <w:rPr>
          <w:rFonts w:eastAsia="宋体" w:cs="Times New Roman"/>
          <w:color w:val="auto"/>
          <w:kern w:val="0"/>
          <w:szCs w:val="21"/>
        </w:rPr>
      </w:pPr>
      <w:bookmarkStart w:id="55" w:name="_Toc31400"/>
      <w:bookmarkStart w:id="56" w:name="_Toc3855"/>
      <w:r>
        <w:rPr>
          <w:rFonts w:eastAsia="宋体" w:cs="Times New Roman"/>
          <w:color w:val="auto"/>
          <w:kern w:val="0"/>
          <w:szCs w:val="21"/>
        </w:rPr>
        <w:t>Radon</w:t>
      </w:r>
      <w:r>
        <w:rPr>
          <w:rFonts w:hint="eastAsia" w:eastAsia="宋体" w:cs="Times New Roman"/>
          <w:color w:val="auto"/>
          <w:kern w:val="0"/>
          <w:szCs w:val="21"/>
        </w:rPr>
        <w:t>二燃室模拟结果</w:t>
      </w:r>
      <w:bookmarkEnd w:id="55"/>
      <w:bookmarkEnd w:id="56"/>
    </w:p>
    <w:p>
      <w:pPr>
        <w:pStyle w:val="23"/>
        <w:numPr>
          <w:ilvl w:val="0"/>
          <w:numId w:val="11"/>
        </w:numPr>
        <w:spacing w:line="336" w:lineRule="auto"/>
        <w:ind w:firstLineChars="0"/>
        <w:jc w:val="center"/>
        <w:rPr>
          <w:rFonts w:eastAsia="宋体" w:cs="Times New Roman"/>
          <w:color w:val="auto"/>
          <w:kern w:val="0"/>
          <w:szCs w:val="21"/>
        </w:rPr>
      </w:pPr>
      <w:bookmarkStart w:id="57" w:name="_Toc12139"/>
      <w:r>
        <w:rPr>
          <w:rFonts w:hint="eastAsia" w:ascii="Times New Roman" w:hAnsi="Times New Roman" w:eastAsia="宋体" w:cs="Times New Roman"/>
          <w:b/>
          <w:color w:val="auto"/>
          <w:kern w:val="0"/>
          <w:szCs w:val="21"/>
        </w:rPr>
        <w:t>二燃室等离子体炬对炭黑的清除效果</w:t>
      </w:r>
      <w:bookmarkEnd w:id="57"/>
    </w:p>
    <w:p>
      <w:pPr>
        <w:jc w:val="center"/>
        <w:rPr>
          <w:rFonts w:ascii="宋体" w:hAnsi="宋体" w:cs="宋体"/>
          <w:color w:val="auto"/>
        </w:rPr>
      </w:pPr>
      <w:r>
        <w:rPr>
          <w:color w:val="auto"/>
        </w:rPr>
        <w:drawing>
          <wp:inline distT="0" distB="0" distL="114300" distR="114300">
            <wp:extent cx="5718810" cy="1012825"/>
            <wp:effectExtent l="0" t="0" r="11430" b="8255"/>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5"/>
                    <pic:cNvPicPr>
                      <a:picLocks noChangeAspect="1"/>
                    </pic:cNvPicPr>
                  </pic:nvPicPr>
                  <pic:blipFill>
                    <a:blip r:embed="rId15"/>
                    <a:stretch>
                      <a:fillRect/>
                    </a:stretch>
                  </pic:blipFill>
                  <pic:spPr>
                    <a:xfrm>
                      <a:off x="0" y="0"/>
                      <a:ext cx="5718810" cy="1012825"/>
                    </a:xfrm>
                    <a:prstGeom prst="rect">
                      <a:avLst/>
                    </a:prstGeom>
                    <a:noFill/>
                    <a:ln>
                      <a:noFill/>
                    </a:ln>
                  </pic:spPr>
                </pic:pic>
              </a:graphicData>
            </a:graphic>
          </wp:inline>
        </w:drawing>
      </w:r>
    </w:p>
    <w:p>
      <w:pPr>
        <w:pStyle w:val="32"/>
        <w:ind w:firstLine="480"/>
        <w:rPr>
          <w:color w:val="auto"/>
        </w:rPr>
      </w:pPr>
      <w:r>
        <w:rPr>
          <w:rFonts w:hint="eastAsia"/>
          <w:color w:val="auto"/>
        </w:rPr>
        <w:t>（2）Plasco等离子体焦油重整</w:t>
      </w:r>
    </w:p>
    <w:p>
      <w:pPr>
        <w:pStyle w:val="32"/>
        <w:ind w:firstLine="480"/>
        <w:rPr>
          <w:color w:val="auto"/>
        </w:rPr>
      </w:pPr>
      <w:r>
        <w:rPr>
          <w:rFonts w:hint="eastAsia"/>
          <w:color w:val="auto"/>
        </w:rPr>
        <w:t>Plasco公司的等离子体焦油重整技术，利用等离子体炬的热量分解CO、H</w:t>
      </w:r>
      <w:r>
        <w:rPr>
          <w:color w:val="auto"/>
          <w:vertAlign w:val="subscript"/>
        </w:rPr>
        <w:t>2</w:t>
      </w:r>
      <w:r>
        <w:rPr>
          <w:rFonts w:hint="eastAsia"/>
          <w:color w:val="auto"/>
        </w:rPr>
        <w:t>、轻链烃、CO</w:t>
      </w:r>
      <w:r>
        <w:rPr>
          <w:color w:val="auto"/>
          <w:vertAlign w:val="subscript"/>
        </w:rPr>
        <w:t>2</w:t>
      </w:r>
      <w:r>
        <w:rPr>
          <w:rFonts w:hint="eastAsia"/>
          <w:color w:val="auto"/>
        </w:rPr>
        <w:t>、炭黑等并重组为期望的化学成分，同时也可去除焦油等污染物。等离子体重整反应器见下图。(参考专利：《使用等离子体炬热的气体重整系统》CN 103385743A；《用于处理包含焦油的粗合成气气的等离子体辅助方法和系统》CN 107532095A)。</w:t>
      </w:r>
    </w:p>
    <w:p>
      <w:pPr>
        <w:pStyle w:val="32"/>
        <w:ind w:firstLine="480"/>
        <w:jc w:val="center"/>
        <w:rPr>
          <w:color w:val="auto"/>
        </w:rPr>
      </w:pPr>
      <w:r>
        <w:rPr>
          <w:color w:val="auto"/>
        </w:rPr>
        <w:drawing>
          <wp:inline distT="0" distB="0" distL="114300" distR="114300">
            <wp:extent cx="2299970" cy="2777490"/>
            <wp:effectExtent l="0" t="0" r="5080" b="3810"/>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16"/>
                    <a:srcRect t="2049" b="3678"/>
                    <a:stretch>
                      <a:fillRect/>
                    </a:stretch>
                  </pic:blipFill>
                  <pic:spPr>
                    <a:xfrm>
                      <a:off x="0" y="0"/>
                      <a:ext cx="2300605" cy="2778258"/>
                    </a:xfrm>
                    <a:prstGeom prst="rect">
                      <a:avLst/>
                    </a:prstGeom>
                    <a:noFill/>
                    <a:ln>
                      <a:noFill/>
                    </a:ln>
                  </pic:spPr>
                </pic:pic>
              </a:graphicData>
            </a:graphic>
          </wp:inline>
        </w:drawing>
      </w:r>
    </w:p>
    <w:p>
      <w:pPr>
        <w:pStyle w:val="5"/>
        <w:numPr>
          <w:ilvl w:val="0"/>
          <w:numId w:val="10"/>
        </w:numPr>
        <w:spacing w:line="336" w:lineRule="auto"/>
        <w:rPr>
          <w:rFonts w:eastAsia="宋体" w:cs="Times New Roman"/>
          <w:color w:val="auto"/>
          <w:kern w:val="0"/>
          <w:szCs w:val="21"/>
        </w:rPr>
      </w:pPr>
      <w:r>
        <w:rPr>
          <w:rFonts w:hint="eastAsia" w:eastAsia="宋体" w:cs="Times New Roman"/>
          <w:color w:val="auto"/>
          <w:kern w:val="0"/>
          <w:szCs w:val="21"/>
        </w:rPr>
        <w:t>等离子体重整反应器</w:t>
      </w:r>
    </w:p>
    <w:p>
      <w:pPr>
        <w:pStyle w:val="32"/>
        <w:ind w:firstLine="480"/>
        <w:rPr>
          <w:color w:val="auto"/>
        </w:rPr>
      </w:pPr>
      <w:r>
        <w:rPr>
          <w:rFonts w:hint="eastAsia"/>
          <w:color w:val="auto"/>
        </w:rPr>
        <w:t>等离子体重整对焦油的消除效果非常明显。</w:t>
      </w:r>
    </w:p>
    <w:p>
      <w:pPr>
        <w:pStyle w:val="5"/>
        <w:numPr>
          <w:ilvl w:val="0"/>
          <w:numId w:val="11"/>
        </w:numPr>
        <w:spacing w:line="336" w:lineRule="auto"/>
        <w:rPr>
          <w:rFonts w:eastAsia="宋体" w:cs="Times New Roman"/>
          <w:color w:val="auto"/>
          <w:kern w:val="0"/>
          <w:szCs w:val="21"/>
        </w:rPr>
      </w:pPr>
      <w:bookmarkStart w:id="58" w:name="_Toc32355"/>
      <w:r>
        <w:rPr>
          <w:rFonts w:eastAsia="宋体" w:cs="Times New Roman"/>
          <w:color w:val="auto"/>
          <w:kern w:val="0"/>
          <w:szCs w:val="21"/>
        </w:rPr>
        <w:t>Plasco</w:t>
      </w:r>
      <w:r>
        <w:rPr>
          <w:rFonts w:hint="eastAsia" w:eastAsia="宋体" w:cs="Times New Roman"/>
          <w:color w:val="auto"/>
          <w:kern w:val="0"/>
          <w:szCs w:val="21"/>
        </w:rPr>
        <w:t>等离子体重整焦油脱除效果</w:t>
      </w:r>
      <w:bookmarkEnd w:id="58"/>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5"/>
        <w:gridCol w:w="2074"/>
        <w:gridCol w:w="2074"/>
        <w:gridCol w:w="20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5" w:type="dxa"/>
            <w:vMerge w:val="restart"/>
            <w:vAlign w:val="center"/>
          </w:tcPr>
          <w:p>
            <w:pPr>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0"/>
                <w:szCs w:val="21"/>
              </w:rPr>
              <w:t>试验</w:t>
            </w:r>
            <w:r>
              <w:rPr>
                <w:rFonts w:ascii="Times New Roman" w:hAnsi="Times New Roman" w:eastAsia="宋体" w:cs="Times New Roman"/>
                <w:color w:val="auto"/>
                <w:kern w:val="0"/>
                <w:sz w:val="20"/>
                <w:szCs w:val="21"/>
              </w:rPr>
              <w:t>#</w:t>
            </w:r>
          </w:p>
        </w:tc>
        <w:tc>
          <w:tcPr>
            <w:tcW w:w="4148" w:type="dxa"/>
            <w:gridSpan w:val="2"/>
            <w:vAlign w:val="center"/>
          </w:tcPr>
          <w:p>
            <w:pPr>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0"/>
                <w:szCs w:val="21"/>
              </w:rPr>
              <w:t>总焦油浓度（</w:t>
            </w:r>
            <w:r>
              <w:rPr>
                <w:rFonts w:ascii="Times New Roman" w:hAnsi="Times New Roman" w:eastAsia="宋体" w:cs="Times New Roman"/>
                <w:color w:val="auto"/>
                <w:kern w:val="0"/>
                <w:sz w:val="20"/>
                <w:szCs w:val="21"/>
              </w:rPr>
              <w:t>mg</w:t>
            </w:r>
            <w:r>
              <w:rPr>
                <w:rFonts w:hint="eastAsia" w:ascii="Times New Roman" w:hAnsi="Times New Roman" w:eastAsia="宋体" w:cs="Times New Roman"/>
                <w:color w:val="auto"/>
                <w:kern w:val="0"/>
                <w:sz w:val="20"/>
                <w:szCs w:val="21"/>
              </w:rPr>
              <w:t>焦油</w:t>
            </w:r>
            <w:r>
              <w:rPr>
                <w:rFonts w:ascii="Times New Roman" w:hAnsi="Times New Roman" w:eastAsia="宋体" w:cs="Times New Roman"/>
                <w:color w:val="auto"/>
                <w:kern w:val="0"/>
                <w:sz w:val="20"/>
                <w:szCs w:val="21"/>
              </w:rPr>
              <w:t>/</w:t>
            </w:r>
            <w:r>
              <w:rPr>
                <w:rFonts w:hint="eastAsia" w:ascii="Times New Roman" w:hAnsi="Times New Roman" w:eastAsia="宋体" w:cs="Times New Roman"/>
                <w:color w:val="auto"/>
                <w:kern w:val="0"/>
                <w:sz w:val="20"/>
                <w:szCs w:val="21"/>
              </w:rPr>
              <w:t>粗合成气的</w:t>
            </w:r>
            <w:r>
              <w:rPr>
                <w:rFonts w:ascii="Times New Roman" w:hAnsi="Times New Roman" w:eastAsia="宋体" w:cs="Times New Roman"/>
                <w:color w:val="auto"/>
                <w:kern w:val="0"/>
                <w:sz w:val="20"/>
                <w:szCs w:val="21"/>
              </w:rPr>
              <w:t>Nm</w:t>
            </w:r>
            <w:r>
              <w:rPr>
                <w:rFonts w:ascii="Times New Roman" w:hAnsi="Times New Roman" w:eastAsia="宋体" w:cs="Times New Roman"/>
                <w:color w:val="auto"/>
                <w:kern w:val="0"/>
                <w:sz w:val="20"/>
                <w:szCs w:val="21"/>
                <w:vertAlign w:val="superscript"/>
              </w:rPr>
              <w:t>3</w:t>
            </w:r>
            <w:r>
              <w:rPr>
                <w:rFonts w:hint="eastAsia" w:ascii="Times New Roman" w:hAnsi="Times New Roman" w:eastAsia="宋体" w:cs="Times New Roman"/>
                <w:color w:val="auto"/>
                <w:kern w:val="0"/>
                <w:sz w:val="20"/>
                <w:szCs w:val="21"/>
              </w:rPr>
              <w:t>）</w:t>
            </w:r>
          </w:p>
        </w:tc>
        <w:tc>
          <w:tcPr>
            <w:tcW w:w="2074" w:type="dxa"/>
            <w:vAlign w:val="center"/>
          </w:tcPr>
          <w:p>
            <w:pPr>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所实现转化率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5" w:type="dxa"/>
            <w:vMerge w:val="continue"/>
            <w:vAlign w:val="center"/>
          </w:tcPr>
          <w:p>
            <w:pPr>
              <w:jc w:val="center"/>
              <w:rPr>
                <w:rFonts w:ascii="Times New Roman" w:hAnsi="Times New Roman" w:eastAsia="宋体" w:cs="Times New Roman"/>
                <w:color w:val="auto"/>
                <w:kern w:val="0"/>
                <w:sz w:val="21"/>
                <w:szCs w:val="21"/>
              </w:rPr>
            </w:pPr>
          </w:p>
        </w:tc>
        <w:tc>
          <w:tcPr>
            <w:tcW w:w="2074" w:type="dxa"/>
            <w:vAlign w:val="center"/>
          </w:tcPr>
          <w:p>
            <w:pPr>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入口处</w:t>
            </w:r>
          </w:p>
        </w:tc>
        <w:tc>
          <w:tcPr>
            <w:tcW w:w="2074" w:type="dxa"/>
            <w:vAlign w:val="center"/>
          </w:tcPr>
          <w:p>
            <w:pPr>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出口处</w:t>
            </w:r>
          </w:p>
        </w:tc>
        <w:tc>
          <w:tcPr>
            <w:tcW w:w="2074" w:type="dxa"/>
            <w:vAlign w:val="center"/>
          </w:tcPr>
          <w:p>
            <w:pPr>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5" w:type="dxa"/>
            <w:vAlign w:val="center"/>
          </w:tcPr>
          <w:p>
            <w:pPr>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0"/>
                <w:szCs w:val="21"/>
              </w:rPr>
              <w:t>1</w:t>
            </w:r>
          </w:p>
        </w:tc>
        <w:tc>
          <w:tcPr>
            <w:tcW w:w="2074" w:type="dxa"/>
            <w:vAlign w:val="center"/>
          </w:tcPr>
          <w:p>
            <w:pPr>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40747</w:t>
            </w:r>
          </w:p>
        </w:tc>
        <w:tc>
          <w:tcPr>
            <w:tcW w:w="2074" w:type="dxa"/>
            <w:vAlign w:val="center"/>
          </w:tcPr>
          <w:p>
            <w:pPr>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6897</w:t>
            </w:r>
          </w:p>
        </w:tc>
        <w:tc>
          <w:tcPr>
            <w:tcW w:w="2074" w:type="dxa"/>
            <w:vAlign w:val="center"/>
          </w:tcPr>
          <w:p>
            <w:pPr>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5" w:type="dxa"/>
            <w:vAlign w:val="center"/>
          </w:tcPr>
          <w:p>
            <w:pPr>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0"/>
                <w:szCs w:val="21"/>
              </w:rPr>
              <w:t>2</w:t>
            </w:r>
          </w:p>
        </w:tc>
        <w:tc>
          <w:tcPr>
            <w:tcW w:w="2074" w:type="dxa"/>
            <w:vAlign w:val="center"/>
          </w:tcPr>
          <w:p>
            <w:pPr>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50191</w:t>
            </w:r>
          </w:p>
        </w:tc>
        <w:tc>
          <w:tcPr>
            <w:tcW w:w="2074" w:type="dxa"/>
            <w:vAlign w:val="center"/>
          </w:tcPr>
          <w:p>
            <w:pPr>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3040</w:t>
            </w:r>
          </w:p>
        </w:tc>
        <w:tc>
          <w:tcPr>
            <w:tcW w:w="2074" w:type="dxa"/>
            <w:vAlign w:val="center"/>
          </w:tcPr>
          <w:p>
            <w:pPr>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5" w:type="dxa"/>
            <w:vAlign w:val="center"/>
          </w:tcPr>
          <w:p>
            <w:pPr>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0"/>
                <w:szCs w:val="21"/>
              </w:rPr>
              <w:t>3</w:t>
            </w:r>
          </w:p>
        </w:tc>
        <w:tc>
          <w:tcPr>
            <w:tcW w:w="2074" w:type="dxa"/>
            <w:vAlign w:val="center"/>
          </w:tcPr>
          <w:p>
            <w:pPr>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57675</w:t>
            </w:r>
          </w:p>
        </w:tc>
        <w:tc>
          <w:tcPr>
            <w:tcW w:w="2074" w:type="dxa"/>
            <w:vAlign w:val="center"/>
          </w:tcPr>
          <w:p>
            <w:pPr>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5708</w:t>
            </w:r>
          </w:p>
        </w:tc>
        <w:tc>
          <w:tcPr>
            <w:tcW w:w="2074" w:type="dxa"/>
            <w:vAlign w:val="center"/>
          </w:tcPr>
          <w:p>
            <w:pPr>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90</w:t>
            </w:r>
          </w:p>
        </w:tc>
      </w:tr>
    </w:tbl>
    <w:p>
      <w:pPr>
        <w:jc w:val="center"/>
        <w:rPr>
          <w:color w:val="auto"/>
        </w:rPr>
      </w:pPr>
    </w:p>
    <w:p>
      <w:pPr>
        <w:pStyle w:val="32"/>
        <w:ind w:firstLine="0" w:firstLineChars="0"/>
        <w:rPr>
          <w:color w:val="auto"/>
        </w:rPr>
      </w:pPr>
      <w:r>
        <w:rPr>
          <w:rFonts w:hint="eastAsia"/>
          <w:color w:val="auto"/>
        </w:rPr>
        <w:t xml:space="preserve"> </w:t>
      </w:r>
      <w:r>
        <w:rPr>
          <w:color w:val="auto"/>
        </w:rPr>
        <w:t xml:space="preserve">   </w:t>
      </w:r>
      <w:r>
        <w:rPr>
          <w:rFonts w:hint="eastAsia"/>
          <w:color w:val="auto"/>
        </w:rPr>
        <w:t>在燃烧过程中形成的NOx有三种类型，即热力型NOx、燃料型NOx和快速型NOx，其中燃料型NOx更多形成于煤粉燃烧过程中，快速型NOx相对于前两种类型的生成量要少得多。在等离子体医疗废物处置过程中，需要控制的是热力型NOx的生成，主要影响因素有燃烧反应的温度、氧气浓度和反应时间等，因此为控制热力型NOx的产生，等离子体重整室应保持为还原性气氛。</w:t>
      </w:r>
    </w:p>
    <w:p>
      <w:pPr>
        <w:pStyle w:val="32"/>
        <w:ind w:firstLine="480"/>
        <w:rPr>
          <w:color w:val="auto"/>
        </w:rPr>
      </w:pPr>
      <w:r>
        <w:rPr>
          <w:rFonts w:hint="eastAsia"/>
          <w:color w:val="auto"/>
        </w:rPr>
        <w:t>标准条文5.5.</w:t>
      </w:r>
      <w:r>
        <w:rPr>
          <w:rFonts w:hint="eastAsia"/>
          <w:color w:val="auto"/>
          <w:lang w:val="en-US" w:eastAsia="zh-CN"/>
        </w:rPr>
        <w:t>6</w:t>
      </w:r>
      <w:r>
        <w:rPr>
          <w:rFonts w:hint="eastAsia"/>
          <w:color w:val="auto"/>
        </w:rPr>
        <w:t>规定了</w:t>
      </w:r>
      <w:r>
        <w:rPr>
          <w:color w:val="auto"/>
        </w:rPr>
        <w:t>气化炉配套设备的基本设计要求</w:t>
      </w:r>
      <w:r>
        <w:rPr>
          <w:rFonts w:hint="eastAsia"/>
          <w:color w:val="auto"/>
        </w:rPr>
        <w:t>，</w:t>
      </w:r>
      <w:r>
        <w:rPr>
          <w:color w:val="auto"/>
        </w:rPr>
        <w:t>应配备</w:t>
      </w:r>
      <w:r>
        <w:rPr>
          <w:rFonts w:hint="eastAsia"/>
          <w:color w:val="auto"/>
        </w:rPr>
        <w:t>燃烧空气系统和</w:t>
      </w:r>
      <w:r>
        <w:rPr>
          <w:color w:val="auto"/>
        </w:rPr>
        <w:t>辅助燃烧装置，</w:t>
      </w:r>
      <w:r>
        <w:rPr>
          <w:rFonts w:hint="eastAsia"/>
          <w:color w:val="auto"/>
        </w:rPr>
        <w:t>在满足实际生产需要的同时应能满足</w:t>
      </w:r>
      <w:r>
        <w:rPr>
          <w:rFonts w:hint="eastAsia"/>
          <w:color w:val="auto"/>
          <w:lang w:eastAsia="zh-CN"/>
        </w:rPr>
        <w:t>气化系统</w:t>
      </w:r>
      <w:r>
        <w:rPr>
          <w:rFonts w:hint="eastAsia"/>
          <w:color w:val="auto"/>
        </w:rPr>
        <w:t>烘炉、启炉和停炉的需要。需要能够</w:t>
      </w:r>
      <w:r>
        <w:rPr>
          <w:color w:val="auto"/>
        </w:rPr>
        <w:t>保证燃烧室或者高温燃烧区温度达到规定</w:t>
      </w:r>
      <w:r>
        <w:rPr>
          <w:rFonts w:hint="eastAsia"/>
          <w:color w:val="auto"/>
        </w:rPr>
        <w:t>要求</w:t>
      </w:r>
      <w:r>
        <w:rPr>
          <w:color w:val="auto"/>
        </w:rPr>
        <w:t>；保证在启动气化炉时能在燃烧室或者高温燃烧区温度加热到规定</w:t>
      </w:r>
      <w:r>
        <w:rPr>
          <w:rFonts w:hint="eastAsia"/>
          <w:color w:val="auto"/>
        </w:rPr>
        <w:t>要求</w:t>
      </w:r>
      <w:r>
        <w:rPr>
          <w:color w:val="auto"/>
        </w:rPr>
        <w:t>的温度后开始投料；保证停止投料时燃烧室或者高温燃烧区温度</w:t>
      </w:r>
      <w:r>
        <w:rPr>
          <w:rFonts w:hint="eastAsia"/>
          <w:color w:val="auto"/>
        </w:rPr>
        <w:t>保持在</w:t>
      </w:r>
      <w:r>
        <w:rPr>
          <w:color w:val="auto"/>
        </w:rPr>
        <w:t>规定</w:t>
      </w:r>
      <w:r>
        <w:rPr>
          <w:rFonts w:hint="eastAsia"/>
          <w:color w:val="auto"/>
        </w:rPr>
        <w:t>要求</w:t>
      </w:r>
      <w:r>
        <w:rPr>
          <w:color w:val="auto"/>
        </w:rPr>
        <w:t>的温度，直至医疗废物完全燃尽。</w:t>
      </w:r>
    </w:p>
    <w:p>
      <w:pPr>
        <w:pStyle w:val="32"/>
        <w:ind w:firstLine="480"/>
        <w:rPr>
          <w:color w:val="auto"/>
        </w:rPr>
      </w:pPr>
      <w:r>
        <w:rPr>
          <w:rFonts w:hint="eastAsia"/>
          <w:color w:val="auto"/>
        </w:rPr>
        <w:t>标准条文5.5.</w:t>
      </w:r>
      <w:r>
        <w:rPr>
          <w:rFonts w:hint="eastAsia"/>
          <w:color w:val="auto"/>
          <w:lang w:val="en-US" w:eastAsia="zh-CN"/>
        </w:rPr>
        <w:t>7</w:t>
      </w:r>
      <w:r>
        <w:rPr>
          <w:rFonts w:hint="eastAsia"/>
          <w:color w:val="auto"/>
        </w:rPr>
        <w:t>规定了</w:t>
      </w:r>
      <w:r>
        <w:rPr>
          <w:color w:val="auto"/>
        </w:rPr>
        <w:t>停电或其他事故状态时气化系统的设计要求，应设有应急排放口</w:t>
      </w:r>
      <w:r>
        <w:rPr>
          <w:rFonts w:hint="eastAsia"/>
          <w:color w:val="auto"/>
        </w:rPr>
        <w:t>，以保证停电或其他事故状态下工艺系统及人身安全</w:t>
      </w:r>
      <w:r>
        <w:rPr>
          <w:color w:val="auto"/>
        </w:rPr>
        <w:t>。</w:t>
      </w:r>
    </w:p>
    <w:p>
      <w:pPr>
        <w:pStyle w:val="4"/>
        <w:rPr>
          <w:color w:val="auto"/>
        </w:rPr>
      </w:pPr>
      <w:bookmarkStart w:id="59" w:name="_Toc126078622"/>
      <w:bookmarkEnd w:id="59"/>
      <w:bookmarkStart w:id="60" w:name="_Toc126078623"/>
      <w:bookmarkEnd w:id="60"/>
      <w:bookmarkStart w:id="61" w:name="_Toc126078624"/>
      <w:bookmarkEnd w:id="61"/>
      <w:bookmarkStart w:id="62" w:name="_Toc29670"/>
      <w:r>
        <w:rPr>
          <w:rFonts w:hint="eastAsia"/>
          <w:color w:val="auto"/>
        </w:rPr>
        <w:t>等离子体发生器系统</w:t>
      </w:r>
      <w:bookmarkEnd w:id="62"/>
    </w:p>
    <w:p>
      <w:pPr>
        <w:pStyle w:val="32"/>
        <w:ind w:firstLine="480"/>
        <w:rPr>
          <w:color w:val="auto"/>
          <w:kern w:val="0"/>
          <w:szCs w:val="21"/>
        </w:rPr>
      </w:pPr>
      <w:r>
        <w:rPr>
          <w:color w:val="auto"/>
          <w:kern w:val="0"/>
          <w:szCs w:val="21"/>
        </w:rPr>
        <w:t>标准条文5.6提出了</w:t>
      </w:r>
      <w:r>
        <w:rPr>
          <w:rFonts w:hint="eastAsia"/>
          <w:color w:val="auto"/>
          <w:kern w:val="0"/>
          <w:szCs w:val="21"/>
          <w:lang w:eastAsia="zh-CN"/>
        </w:rPr>
        <w:t>医疗废物等离子体集中处理处置工程</w:t>
      </w:r>
      <w:r>
        <w:rPr>
          <w:color w:val="auto"/>
          <w:kern w:val="0"/>
          <w:szCs w:val="21"/>
        </w:rPr>
        <w:t>等离子体发生器系统的通用性要求。</w:t>
      </w:r>
    </w:p>
    <w:p>
      <w:pPr>
        <w:pStyle w:val="32"/>
        <w:ind w:firstLine="480"/>
        <w:rPr>
          <w:color w:val="auto"/>
          <w:kern w:val="0"/>
          <w:szCs w:val="21"/>
        </w:rPr>
      </w:pPr>
      <w:r>
        <w:rPr>
          <w:rFonts w:hint="eastAsia"/>
          <w:color w:val="auto"/>
          <w:kern w:val="0"/>
          <w:szCs w:val="21"/>
        </w:rPr>
        <w:t>等离子体发生器作为高效电热转换设备，是通过强烈等离子体放电，将工作工质加热至</w:t>
      </w:r>
      <w:r>
        <w:rPr>
          <w:color w:val="auto"/>
          <w:kern w:val="0"/>
          <w:szCs w:val="21"/>
        </w:rPr>
        <w:t>300-5000K的高温，并形成等离子体态。工作工质一般采用特定气体或多种气体混合。</w:t>
      </w:r>
    </w:p>
    <w:p>
      <w:pPr>
        <w:pStyle w:val="32"/>
        <w:ind w:firstLine="480"/>
        <w:rPr>
          <w:color w:val="auto"/>
          <w:kern w:val="0"/>
          <w:szCs w:val="21"/>
        </w:rPr>
      </w:pPr>
      <w:r>
        <w:rPr>
          <w:rFonts w:hint="eastAsia"/>
          <w:color w:val="auto"/>
          <w:kern w:val="0"/>
          <w:szCs w:val="21"/>
        </w:rPr>
        <w:t>等离子体发生器具有复杂波动的伏安特性、内部数千</w:t>
      </w:r>
      <w:r>
        <w:rPr>
          <w:color w:val="auto"/>
          <w:kern w:val="0"/>
          <w:szCs w:val="21"/>
        </w:rPr>
        <w:t>K的工作温度。因此等离子体发生器系统必须配备独立等离子体电源、工作工质供给、冷却供给系统，确保等离子体发生器稳定可靠运行。</w:t>
      </w:r>
    </w:p>
    <w:p>
      <w:pPr>
        <w:pStyle w:val="32"/>
        <w:ind w:firstLine="480"/>
        <w:rPr>
          <w:color w:val="auto"/>
          <w:kern w:val="0"/>
          <w:szCs w:val="21"/>
        </w:rPr>
      </w:pPr>
      <w:r>
        <w:rPr>
          <w:rFonts w:hint="eastAsia"/>
          <w:color w:val="auto"/>
          <w:kern w:val="0"/>
          <w:szCs w:val="21"/>
        </w:rPr>
        <w:t>同时，等离子体发生器需在线实时调整工作参数，完备的自动控制系统是必要的。</w:t>
      </w:r>
    </w:p>
    <w:p>
      <w:pPr>
        <w:pStyle w:val="32"/>
        <w:ind w:firstLine="480"/>
        <w:rPr>
          <w:color w:val="auto"/>
          <w:kern w:val="0"/>
          <w:szCs w:val="21"/>
        </w:rPr>
      </w:pPr>
      <w:r>
        <w:rPr>
          <w:rFonts w:hint="eastAsia"/>
          <w:color w:val="auto"/>
          <w:kern w:val="0"/>
          <w:szCs w:val="21"/>
        </w:rPr>
        <w:t>标准条文</w:t>
      </w:r>
      <w:r>
        <w:rPr>
          <w:color w:val="auto"/>
          <w:kern w:val="0"/>
          <w:szCs w:val="21"/>
        </w:rPr>
        <w:t>5.6.2规定了等离子体电源所产生的谐波水平。等离子体电源所产生的高频谐波电流不但会影响公共接入点的电能质量，同样也会对从同一公共接入点并联的其它用电设备造成干扰。等离子体处置项目有必要按照GB/T 14549-93的要求严格限定电源所产生的谐波量（尤其是谐波电流分量），有效保护</w:t>
      </w:r>
      <w:r>
        <w:rPr>
          <w:rFonts w:hint="eastAsia"/>
          <w:color w:val="auto"/>
          <w:kern w:val="0"/>
          <w:szCs w:val="21"/>
        </w:rPr>
        <w:t>医疗废物</w:t>
      </w:r>
      <w:r>
        <w:rPr>
          <w:color w:val="auto"/>
          <w:kern w:val="0"/>
          <w:szCs w:val="21"/>
        </w:rPr>
        <w:t xml:space="preserve">处置工程的其它设备。如果电源产生谐波量超过GB/T 14549-93的要求，需在公共接入点配置谐波治理装置。 </w:t>
      </w:r>
    </w:p>
    <w:p>
      <w:pPr>
        <w:pStyle w:val="32"/>
        <w:ind w:firstLine="480"/>
        <w:rPr>
          <w:color w:val="auto"/>
          <w:kern w:val="0"/>
          <w:szCs w:val="21"/>
        </w:rPr>
      </w:pPr>
      <w:r>
        <w:rPr>
          <w:rFonts w:hint="eastAsia"/>
          <w:color w:val="auto"/>
          <w:kern w:val="0"/>
          <w:szCs w:val="21"/>
        </w:rPr>
        <w:t>标准条文</w:t>
      </w:r>
      <w:r>
        <w:rPr>
          <w:color w:val="auto"/>
          <w:kern w:val="0"/>
          <w:szCs w:val="21"/>
        </w:rPr>
        <w:t>5.6.3规定了等离子体发生器系统宜配置自动插拔系统。等离子体发生器工作环境一般处于较高的环境温度、噪音下，不利用人工操作。配置</w:t>
      </w:r>
      <w:r>
        <w:rPr>
          <w:rFonts w:hint="eastAsia"/>
          <w:color w:val="auto"/>
          <w:kern w:val="0"/>
          <w:szCs w:val="21"/>
        </w:rPr>
        <w:t>设备自动化程度较高</w:t>
      </w:r>
      <w:r>
        <w:rPr>
          <w:color w:val="auto"/>
          <w:kern w:val="0"/>
          <w:szCs w:val="21"/>
        </w:rPr>
        <w:t>的插拔系统，有助于减轻人工操作负担。另外，发生器系统所处工作区域为气化炉850℃以上的炉膛内，一旦冷却供给系统因故障不能正常冷却，插拔系统可快速、自动将等离子体发生器拔出炉膛，防止发生器烧毁。</w:t>
      </w:r>
    </w:p>
    <w:p>
      <w:pPr>
        <w:pStyle w:val="32"/>
        <w:ind w:firstLine="480"/>
        <w:rPr>
          <w:color w:val="auto"/>
          <w:kern w:val="0"/>
          <w:szCs w:val="21"/>
        </w:rPr>
      </w:pPr>
      <w:r>
        <w:rPr>
          <w:rFonts w:hint="eastAsia"/>
          <w:color w:val="auto"/>
          <w:kern w:val="0"/>
          <w:szCs w:val="21"/>
        </w:rPr>
        <w:t>等离子体发生器系统的冷却水应采用除盐水，其需要满足的技术性能指标如下表所示，除盐水的指标属于一般通用性要求，在标准正文中不做赘述。</w:t>
      </w:r>
    </w:p>
    <w:p>
      <w:pPr>
        <w:pStyle w:val="5"/>
        <w:numPr>
          <w:ilvl w:val="0"/>
          <w:numId w:val="11"/>
        </w:numPr>
        <w:spacing w:line="336" w:lineRule="auto"/>
        <w:rPr>
          <w:rFonts w:eastAsia="宋体" w:cs="Times New Roman"/>
          <w:color w:val="auto"/>
          <w:kern w:val="0"/>
          <w:szCs w:val="21"/>
        </w:rPr>
      </w:pPr>
      <w:bookmarkStart w:id="63" w:name="_Hlk66290406"/>
      <w:r>
        <w:rPr>
          <w:rFonts w:eastAsia="宋体" w:cs="Times New Roman"/>
          <w:color w:val="auto"/>
          <w:kern w:val="0"/>
          <w:szCs w:val="21"/>
        </w:rPr>
        <w:t>等离子体发生器冷却用除盐水技术性能指标</w:t>
      </w:r>
    </w:p>
    <w:tbl>
      <w:tblPr>
        <w:tblStyle w:val="16"/>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850"/>
        <w:gridCol w:w="1838"/>
        <w:gridCol w:w="1985"/>
        <w:gridCol w:w="2126"/>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50" w:type="dxa"/>
            <w:tcBorders>
              <w:top w:val="single" w:color="auto" w:sz="4" w:space="0"/>
              <w:left w:val="single" w:color="auto" w:sz="4" w:space="0"/>
              <w:bottom w:val="single" w:color="auto" w:sz="4" w:space="0"/>
              <w:right w:val="single" w:color="auto" w:sz="4" w:space="0"/>
            </w:tcBorders>
          </w:tcPr>
          <w:p>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序号</w:t>
            </w:r>
          </w:p>
        </w:tc>
        <w:tc>
          <w:tcPr>
            <w:tcW w:w="1838" w:type="dxa"/>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指标</w:t>
            </w:r>
          </w:p>
        </w:tc>
        <w:tc>
          <w:tcPr>
            <w:tcW w:w="1985" w:type="dxa"/>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单位</w:t>
            </w:r>
          </w:p>
        </w:tc>
        <w:tc>
          <w:tcPr>
            <w:tcW w:w="2126" w:type="dxa"/>
            <w:tcBorders>
              <w:top w:val="single" w:color="auto" w:sz="4" w:space="0"/>
              <w:left w:val="single" w:color="auto" w:sz="4" w:space="0"/>
              <w:bottom w:val="single" w:color="auto" w:sz="4" w:space="0"/>
              <w:right w:val="single" w:color="auto" w:sz="4" w:space="0"/>
            </w:tcBorders>
            <w:vAlign w:val="center"/>
          </w:tcPr>
          <w:p>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限值</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12" w:hRule="atLeast"/>
          <w:jc w:val="center"/>
        </w:trPr>
        <w:tc>
          <w:tcPr>
            <w:tcW w:w="850" w:type="dxa"/>
            <w:tcBorders>
              <w:left w:val="single" w:color="auto" w:sz="4" w:space="0"/>
              <w:right w:val="single" w:color="auto" w:sz="4" w:space="0"/>
            </w:tcBorders>
          </w:tcPr>
          <w:p>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1</w:t>
            </w:r>
          </w:p>
        </w:tc>
        <w:tc>
          <w:tcPr>
            <w:tcW w:w="1838" w:type="dxa"/>
            <w:tcBorders>
              <w:left w:val="single" w:color="auto" w:sz="4" w:space="0"/>
              <w:right w:val="single" w:color="auto" w:sz="4" w:space="0"/>
            </w:tcBorders>
            <w:vAlign w:val="center"/>
          </w:tcPr>
          <w:p>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电导率</w:t>
            </w:r>
          </w:p>
        </w:tc>
        <w:tc>
          <w:tcPr>
            <w:tcW w:w="1985" w:type="dxa"/>
            <w:tcBorders>
              <w:left w:val="single" w:color="auto" w:sz="4" w:space="0"/>
              <w:right w:val="single" w:color="auto" w:sz="4" w:space="0"/>
            </w:tcBorders>
            <w:vAlign w:val="center"/>
          </w:tcPr>
          <w:p>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uS/cm</w:t>
            </w:r>
          </w:p>
        </w:tc>
        <w:tc>
          <w:tcPr>
            <w:tcW w:w="2126" w:type="dxa"/>
            <w:tcBorders>
              <w:left w:val="single" w:color="auto" w:sz="4" w:space="0"/>
              <w:right w:val="single" w:color="auto" w:sz="4" w:space="0"/>
            </w:tcBorders>
            <w:vAlign w:val="center"/>
          </w:tcPr>
          <w:p>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&lt;10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12" w:hRule="atLeast"/>
          <w:jc w:val="center"/>
        </w:trPr>
        <w:tc>
          <w:tcPr>
            <w:tcW w:w="850" w:type="dxa"/>
            <w:tcBorders>
              <w:left w:val="single" w:color="auto" w:sz="4" w:space="0"/>
              <w:right w:val="single" w:color="auto" w:sz="4" w:space="0"/>
            </w:tcBorders>
          </w:tcPr>
          <w:p>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2</w:t>
            </w:r>
          </w:p>
        </w:tc>
        <w:tc>
          <w:tcPr>
            <w:tcW w:w="1838" w:type="dxa"/>
            <w:tcBorders>
              <w:left w:val="single" w:color="auto" w:sz="4" w:space="0"/>
              <w:right w:val="single" w:color="auto" w:sz="4" w:space="0"/>
            </w:tcBorders>
            <w:vAlign w:val="center"/>
          </w:tcPr>
          <w:p>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pH</w:t>
            </w:r>
          </w:p>
        </w:tc>
        <w:tc>
          <w:tcPr>
            <w:tcW w:w="1985" w:type="dxa"/>
            <w:tcBorders>
              <w:left w:val="single" w:color="auto" w:sz="4" w:space="0"/>
              <w:right w:val="single" w:color="auto" w:sz="4" w:space="0"/>
            </w:tcBorders>
            <w:vAlign w:val="center"/>
          </w:tcPr>
          <w:p>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w:t>
            </w:r>
          </w:p>
        </w:tc>
        <w:tc>
          <w:tcPr>
            <w:tcW w:w="2126" w:type="dxa"/>
            <w:tcBorders>
              <w:left w:val="single" w:color="auto" w:sz="4" w:space="0"/>
              <w:right w:val="single" w:color="auto" w:sz="4" w:space="0"/>
            </w:tcBorders>
            <w:vAlign w:val="center"/>
          </w:tcPr>
          <w:p>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7</w:t>
            </w:r>
            <w:r>
              <w:rPr>
                <w:rFonts w:ascii="Times New Roman" w:hAnsi="Times New Roman" w:eastAsia="宋体" w:cs="Times New Roman"/>
                <w:color w:val="auto"/>
                <w:szCs w:val="21"/>
              </w:rPr>
              <w:t>~</w:t>
            </w:r>
            <w:r>
              <w:rPr>
                <w:rFonts w:ascii="Times New Roman" w:hAnsi="Times New Roman" w:eastAsia="宋体" w:cs="Times New Roman"/>
                <w:color w:val="auto"/>
                <w:kern w:val="0"/>
                <w:szCs w:val="21"/>
              </w:rPr>
              <w:t>8</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12" w:hRule="atLeast"/>
          <w:jc w:val="center"/>
        </w:trPr>
        <w:tc>
          <w:tcPr>
            <w:tcW w:w="850" w:type="dxa"/>
            <w:tcBorders>
              <w:left w:val="single" w:color="auto" w:sz="4" w:space="0"/>
              <w:bottom w:val="single" w:color="auto" w:sz="4" w:space="0"/>
              <w:right w:val="single" w:color="auto" w:sz="4" w:space="0"/>
            </w:tcBorders>
          </w:tcPr>
          <w:p>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3</w:t>
            </w:r>
          </w:p>
        </w:tc>
        <w:tc>
          <w:tcPr>
            <w:tcW w:w="1838" w:type="dxa"/>
            <w:tcBorders>
              <w:left w:val="single" w:color="auto" w:sz="4" w:space="0"/>
              <w:bottom w:val="single" w:color="auto" w:sz="4" w:space="0"/>
              <w:right w:val="single" w:color="auto" w:sz="4" w:space="0"/>
            </w:tcBorders>
            <w:vAlign w:val="center"/>
          </w:tcPr>
          <w:p>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颗粒物</w:t>
            </w:r>
          </w:p>
        </w:tc>
        <w:tc>
          <w:tcPr>
            <w:tcW w:w="1985" w:type="dxa"/>
            <w:tcBorders>
              <w:left w:val="single" w:color="auto" w:sz="4" w:space="0"/>
              <w:bottom w:val="single" w:color="auto" w:sz="4" w:space="0"/>
              <w:right w:val="single" w:color="auto" w:sz="4" w:space="0"/>
            </w:tcBorders>
            <w:vAlign w:val="center"/>
          </w:tcPr>
          <w:p>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um</w:t>
            </w:r>
          </w:p>
        </w:tc>
        <w:tc>
          <w:tcPr>
            <w:tcW w:w="2126" w:type="dxa"/>
            <w:tcBorders>
              <w:left w:val="single" w:color="auto" w:sz="4" w:space="0"/>
              <w:right w:val="single" w:color="auto" w:sz="4" w:space="0"/>
            </w:tcBorders>
            <w:vAlign w:val="center"/>
          </w:tcPr>
          <w:p>
            <w:pPr>
              <w:widowControl/>
              <w:jc w:val="center"/>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&lt;100</w:t>
            </w:r>
          </w:p>
        </w:tc>
      </w:tr>
      <w:bookmarkEnd w:id="63"/>
    </w:tbl>
    <w:p>
      <w:pPr>
        <w:pStyle w:val="4"/>
        <w:rPr>
          <w:color w:val="auto"/>
        </w:rPr>
      </w:pPr>
      <w:bookmarkStart w:id="64" w:name="_Toc23596"/>
      <w:r>
        <w:rPr>
          <w:rFonts w:hint="eastAsia"/>
          <w:color w:val="auto"/>
          <w:lang w:val="en-US" w:eastAsia="zh-CN"/>
        </w:rPr>
        <w:t>余热</w:t>
      </w:r>
      <w:r>
        <w:rPr>
          <w:rFonts w:hint="eastAsia"/>
          <w:color w:val="auto"/>
        </w:rPr>
        <w:t>利用系统</w:t>
      </w:r>
      <w:bookmarkEnd w:id="64"/>
    </w:p>
    <w:p>
      <w:pPr>
        <w:pStyle w:val="32"/>
        <w:ind w:firstLine="480"/>
        <w:rPr>
          <w:color w:val="auto"/>
        </w:rPr>
      </w:pPr>
      <w:r>
        <w:rPr>
          <w:color w:val="auto"/>
        </w:rPr>
        <w:t>标准条文5.</w:t>
      </w:r>
      <w:r>
        <w:rPr>
          <w:rFonts w:hint="eastAsia"/>
          <w:color w:val="auto"/>
        </w:rPr>
        <w:t>7</w:t>
      </w:r>
      <w:r>
        <w:rPr>
          <w:color w:val="auto"/>
        </w:rPr>
        <w:t>提出了</w:t>
      </w:r>
      <w:r>
        <w:rPr>
          <w:rFonts w:hint="eastAsia"/>
          <w:color w:val="auto"/>
          <w:lang w:eastAsia="zh-CN"/>
        </w:rPr>
        <w:t>医疗废物等离子体集中处理处置工程</w:t>
      </w:r>
      <w:r>
        <w:rPr>
          <w:rFonts w:hint="eastAsia"/>
          <w:color w:val="auto"/>
          <w:lang w:val="en-US" w:eastAsia="zh-CN"/>
        </w:rPr>
        <w:t>余热</w:t>
      </w:r>
      <w:r>
        <w:rPr>
          <w:color w:val="auto"/>
        </w:rPr>
        <w:t>利用系统的通用性要求</w:t>
      </w:r>
      <w:r>
        <w:rPr>
          <w:rFonts w:hint="eastAsia"/>
          <w:color w:val="auto"/>
        </w:rPr>
        <w:t>。</w:t>
      </w:r>
    </w:p>
    <w:p>
      <w:pPr>
        <w:pStyle w:val="32"/>
        <w:ind w:firstLine="480"/>
        <w:rPr>
          <w:color w:val="auto"/>
        </w:rPr>
      </w:pPr>
      <w:r>
        <w:rPr>
          <w:rFonts w:hint="eastAsia"/>
          <w:color w:val="auto"/>
        </w:rPr>
        <w:t>医疗废物具有较高的热值，参考同类项目调研及模拟样品采样分析结果，医疗废物的低位热值波动范围约</w:t>
      </w:r>
      <w:r>
        <w:rPr>
          <w:color w:val="auto"/>
        </w:rPr>
        <w:t>3500-5500 kcal/kg</w:t>
      </w:r>
      <w:r>
        <w:rPr>
          <w:rFonts w:hint="eastAsia"/>
          <w:color w:val="auto"/>
        </w:rPr>
        <w:t>，</w:t>
      </w:r>
      <w:r>
        <w:rPr>
          <w:color w:val="auto"/>
        </w:rPr>
        <w:t>医疗废物元素平均占比及波动范围见</w:t>
      </w:r>
      <w:r>
        <w:rPr>
          <w:rFonts w:hint="eastAsia"/>
          <w:color w:val="auto"/>
        </w:rPr>
        <w:t>下表，对</w:t>
      </w:r>
      <w:r>
        <w:rPr>
          <w:color w:val="auto"/>
        </w:rPr>
        <w:t>医疗废物热解气化生成的可燃气燃烧后产生的热能可以适当形式加以有效利用</w:t>
      </w:r>
      <w:r>
        <w:rPr>
          <w:rFonts w:hint="eastAsia"/>
          <w:color w:val="auto"/>
        </w:rPr>
        <w:t>，采用由余热锅炉、供热等设施构成的热能利用系统</w:t>
      </w:r>
      <w:r>
        <w:rPr>
          <w:color w:val="auto"/>
        </w:rPr>
        <w:t>。</w:t>
      </w:r>
      <w:r>
        <w:rPr>
          <w:rFonts w:hint="eastAsia"/>
          <w:color w:val="auto"/>
        </w:rPr>
        <w:t>医废经气化炉处置后产生主要成分为</w:t>
      </w:r>
      <w:r>
        <w:rPr>
          <w:color w:val="auto"/>
        </w:rPr>
        <w:t>H</w:t>
      </w:r>
      <w:r>
        <w:rPr>
          <w:color w:val="auto"/>
          <w:vertAlign w:val="subscript"/>
        </w:rPr>
        <w:t>2</w:t>
      </w:r>
      <w:r>
        <w:rPr>
          <w:color w:val="auto"/>
        </w:rPr>
        <w:t>、CO、CH</w:t>
      </w:r>
      <w:r>
        <w:rPr>
          <w:color w:val="auto"/>
          <w:vertAlign w:val="subscript"/>
        </w:rPr>
        <w:t>4</w:t>
      </w:r>
      <w:r>
        <w:rPr>
          <w:color w:val="auto"/>
        </w:rPr>
        <w:t>和部分低碳烃等为主要成分的混合可燃性气体</w:t>
      </w:r>
      <w:r>
        <w:rPr>
          <w:rFonts w:hint="eastAsia"/>
          <w:color w:val="auto"/>
        </w:rPr>
        <w:t>，经二次燃烧后释放出大量的热。当医废处置量达到一定规模（≥10TPD），建议可以考虑进行热能利用。</w:t>
      </w:r>
    </w:p>
    <w:p>
      <w:pPr>
        <w:pStyle w:val="5"/>
        <w:numPr>
          <w:ilvl w:val="0"/>
          <w:numId w:val="11"/>
        </w:numPr>
        <w:spacing w:line="336" w:lineRule="auto"/>
        <w:rPr>
          <w:rFonts w:eastAsia="宋体" w:cs="Times New Roman"/>
          <w:color w:val="auto"/>
          <w:kern w:val="0"/>
          <w:szCs w:val="21"/>
        </w:rPr>
      </w:pPr>
      <w:bookmarkStart w:id="65" w:name="_Toc78872913"/>
      <w:bookmarkStart w:id="66" w:name="_Toc82877196"/>
      <w:bookmarkStart w:id="67" w:name="_Toc107181415"/>
      <w:bookmarkStart w:id="68" w:name="_Toc108448006"/>
      <w:r>
        <w:rPr>
          <w:rFonts w:hint="eastAsia" w:eastAsia="宋体" w:cs="Times New Roman"/>
          <w:color w:val="auto"/>
          <w:kern w:val="0"/>
          <w:szCs w:val="21"/>
        </w:rPr>
        <w:t>医疗废物</w:t>
      </w:r>
      <w:bookmarkEnd w:id="65"/>
      <w:r>
        <w:rPr>
          <w:rFonts w:hint="eastAsia" w:eastAsia="宋体" w:cs="Times New Roman"/>
          <w:color w:val="auto"/>
          <w:kern w:val="0"/>
          <w:szCs w:val="21"/>
        </w:rPr>
        <w:t>主要元素分析</w:t>
      </w:r>
      <w:bookmarkEnd w:id="66"/>
      <w:bookmarkEnd w:id="67"/>
      <w:bookmarkEnd w:id="68"/>
    </w:p>
    <w:tbl>
      <w:tblPr>
        <w:tblStyle w:val="16"/>
        <w:tblW w:w="495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12"/>
        <w:gridCol w:w="871"/>
        <w:gridCol w:w="728"/>
        <w:gridCol w:w="722"/>
        <w:gridCol w:w="726"/>
        <w:gridCol w:w="728"/>
        <w:gridCol w:w="722"/>
        <w:gridCol w:w="763"/>
        <w:gridCol w:w="8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370" w:type="pct"/>
            <w:shd w:val="clear" w:color="000000" w:fill="FFFFFF"/>
            <w:noWrap/>
            <w:vAlign w:val="bottom"/>
          </w:tcPr>
          <w:p>
            <w:pPr>
              <w:pStyle w:val="5"/>
              <w:spacing w:line="240" w:lineRule="auto"/>
              <w:contextualSpacing/>
              <w:rPr>
                <w:rFonts w:eastAsia="宋体" w:cs="Times New Roman"/>
                <w:bCs/>
                <w:color w:val="auto"/>
                <w:szCs w:val="21"/>
              </w:rPr>
            </w:pPr>
            <w:r>
              <w:rPr>
                <w:rFonts w:hint="eastAsia" w:eastAsia="宋体" w:cs="Times New Roman"/>
                <w:bCs/>
                <w:color w:val="auto"/>
                <w:szCs w:val="21"/>
              </w:rPr>
              <w:t>项目</w:t>
            </w:r>
          </w:p>
        </w:tc>
        <w:tc>
          <w:tcPr>
            <w:tcW w:w="516" w:type="pct"/>
            <w:shd w:val="clear" w:color="000000" w:fill="FFFFFF"/>
            <w:noWrap/>
            <w:vAlign w:val="bottom"/>
          </w:tcPr>
          <w:p>
            <w:pPr>
              <w:pStyle w:val="5"/>
              <w:spacing w:line="240" w:lineRule="auto"/>
              <w:contextualSpacing/>
              <w:rPr>
                <w:rFonts w:eastAsia="宋体" w:cs="Times New Roman"/>
                <w:b w:val="0"/>
                <w:color w:val="auto"/>
                <w:szCs w:val="21"/>
              </w:rPr>
            </w:pPr>
            <w:r>
              <w:rPr>
                <w:rFonts w:eastAsia="宋体" w:cs="Times New Roman"/>
                <w:b w:val="0"/>
                <w:color w:val="auto"/>
                <w:szCs w:val="21"/>
              </w:rPr>
              <w:t>Car</w:t>
            </w:r>
          </w:p>
        </w:tc>
        <w:tc>
          <w:tcPr>
            <w:tcW w:w="431" w:type="pct"/>
            <w:shd w:val="clear" w:color="000000" w:fill="FFFFFF"/>
            <w:noWrap/>
            <w:vAlign w:val="bottom"/>
          </w:tcPr>
          <w:p>
            <w:pPr>
              <w:pStyle w:val="5"/>
              <w:spacing w:line="240" w:lineRule="auto"/>
              <w:contextualSpacing/>
              <w:rPr>
                <w:rFonts w:eastAsia="宋体" w:cs="Times New Roman"/>
                <w:b w:val="0"/>
                <w:color w:val="auto"/>
                <w:szCs w:val="21"/>
              </w:rPr>
            </w:pPr>
            <w:r>
              <w:rPr>
                <w:rFonts w:eastAsia="宋体" w:cs="Times New Roman"/>
                <w:b w:val="0"/>
                <w:color w:val="auto"/>
                <w:szCs w:val="21"/>
              </w:rPr>
              <w:t>Har</w:t>
            </w:r>
          </w:p>
        </w:tc>
        <w:tc>
          <w:tcPr>
            <w:tcW w:w="428" w:type="pct"/>
            <w:shd w:val="clear" w:color="000000" w:fill="FFFFFF"/>
            <w:noWrap/>
            <w:vAlign w:val="bottom"/>
          </w:tcPr>
          <w:p>
            <w:pPr>
              <w:pStyle w:val="5"/>
              <w:spacing w:line="240" w:lineRule="auto"/>
              <w:contextualSpacing/>
              <w:rPr>
                <w:rFonts w:eastAsia="宋体" w:cs="Times New Roman"/>
                <w:b w:val="0"/>
                <w:color w:val="auto"/>
                <w:szCs w:val="21"/>
              </w:rPr>
            </w:pPr>
            <w:r>
              <w:rPr>
                <w:rFonts w:eastAsia="宋体" w:cs="Times New Roman"/>
                <w:b w:val="0"/>
                <w:color w:val="auto"/>
                <w:szCs w:val="21"/>
              </w:rPr>
              <w:t>Oar</w:t>
            </w:r>
          </w:p>
        </w:tc>
        <w:tc>
          <w:tcPr>
            <w:tcW w:w="430" w:type="pct"/>
            <w:shd w:val="clear" w:color="000000" w:fill="FFFFFF"/>
            <w:noWrap/>
            <w:vAlign w:val="bottom"/>
          </w:tcPr>
          <w:p>
            <w:pPr>
              <w:pStyle w:val="5"/>
              <w:spacing w:line="240" w:lineRule="auto"/>
              <w:contextualSpacing/>
              <w:rPr>
                <w:rFonts w:eastAsia="宋体" w:cs="Times New Roman"/>
                <w:b w:val="0"/>
                <w:color w:val="auto"/>
                <w:szCs w:val="21"/>
              </w:rPr>
            </w:pPr>
            <w:r>
              <w:rPr>
                <w:rFonts w:eastAsia="宋体" w:cs="Times New Roman"/>
                <w:b w:val="0"/>
                <w:color w:val="auto"/>
                <w:szCs w:val="21"/>
              </w:rPr>
              <w:t>Nar</w:t>
            </w:r>
          </w:p>
        </w:tc>
        <w:tc>
          <w:tcPr>
            <w:tcW w:w="431" w:type="pct"/>
            <w:shd w:val="clear" w:color="000000" w:fill="FFFFFF"/>
            <w:noWrap/>
            <w:vAlign w:val="bottom"/>
          </w:tcPr>
          <w:p>
            <w:pPr>
              <w:pStyle w:val="5"/>
              <w:spacing w:line="240" w:lineRule="auto"/>
              <w:contextualSpacing/>
              <w:rPr>
                <w:rFonts w:eastAsia="宋体" w:cs="Times New Roman"/>
                <w:b w:val="0"/>
                <w:color w:val="auto"/>
                <w:szCs w:val="21"/>
              </w:rPr>
            </w:pPr>
            <w:r>
              <w:rPr>
                <w:rFonts w:eastAsia="宋体" w:cs="Times New Roman"/>
                <w:b w:val="0"/>
                <w:color w:val="auto"/>
                <w:szCs w:val="21"/>
              </w:rPr>
              <w:t>Sar</w:t>
            </w:r>
          </w:p>
        </w:tc>
        <w:tc>
          <w:tcPr>
            <w:tcW w:w="428" w:type="pct"/>
            <w:shd w:val="clear" w:color="000000" w:fill="FFFFFF"/>
            <w:noWrap/>
            <w:vAlign w:val="bottom"/>
          </w:tcPr>
          <w:p>
            <w:pPr>
              <w:pStyle w:val="5"/>
              <w:spacing w:line="240" w:lineRule="auto"/>
              <w:contextualSpacing/>
              <w:rPr>
                <w:rFonts w:eastAsia="宋体" w:cs="Times New Roman"/>
                <w:b w:val="0"/>
                <w:color w:val="auto"/>
                <w:szCs w:val="21"/>
              </w:rPr>
            </w:pPr>
            <w:r>
              <w:rPr>
                <w:rFonts w:eastAsia="宋体" w:cs="Times New Roman"/>
                <w:b w:val="0"/>
                <w:color w:val="auto"/>
                <w:szCs w:val="21"/>
              </w:rPr>
              <w:t>Clar</w:t>
            </w:r>
          </w:p>
        </w:tc>
        <w:tc>
          <w:tcPr>
            <w:tcW w:w="452" w:type="pct"/>
            <w:shd w:val="clear" w:color="000000" w:fill="FFFFFF"/>
            <w:noWrap/>
            <w:vAlign w:val="bottom"/>
          </w:tcPr>
          <w:p>
            <w:pPr>
              <w:pStyle w:val="5"/>
              <w:spacing w:line="240" w:lineRule="auto"/>
              <w:contextualSpacing/>
              <w:rPr>
                <w:rFonts w:eastAsia="宋体" w:cs="Times New Roman"/>
                <w:b w:val="0"/>
                <w:color w:val="auto"/>
                <w:szCs w:val="21"/>
              </w:rPr>
            </w:pPr>
            <w:r>
              <w:rPr>
                <w:rFonts w:eastAsia="宋体" w:cs="Times New Roman"/>
                <w:b w:val="0"/>
                <w:color w:val="auto"/>
                <w:szCs w:val="21"/>
              </w:rPr>
              <w:t>Aar</w:t>
            </w:r>
          </w:p>
        </w:tc>
        <w:tc>
          <w:tcPr>
            <w:tcW w:w="515" w:type="pct"/>
            <w:shd w:val="clear" w:color="000000" w:fill="FFFFFF"/>
            <w:noWrap/>
            <w:vAlign w:val="center"/>
          </w:tcPr>
          <w:p>
            <w:pPr>
              <w:pStyle w:val="5"/>
              <w:spacing w:line="240" w:lineRule="auto"/>
              <w:contextualSpacing/>
              <w:rPr>
                <w:rFonts w:eastAsia="宋体" w:cs="Times New Roman"/>
                <w:b w:val="0"/>
                <w:color w:val="auto"/>
                <w:szCs w:val="21"/>
              </w:rPr>
            </w:pPr>
            <w:r>
              <w:rPr>
                <w:rFonts w:eastAsia="宋体" w:cs="Times New Roman"/>
                <w:b w:val="0"/>
                <w:color w:val="auto"/>
                <w:szCs w:val="21"/>
              </w:rPr>
              <w:t>Mar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jc w:val="center"/>
        </w:trPr>
        <w:tc>
          <w:tcPr>
            <w:tcW w:w="1370" w:type="pct"/>
            <w:shd w:val="clear" w:color="000000" w:fill="FFFFFF"/>
            <w:noWrap/>
            <w:vAlign w:val="bottom"/>
          </w:tcPr>
          <w:p>
            <w:pPr>
              <w:pStyle w:val="5"/>
              <w:spacing w:line="240" w:lineRule="auto"/>
              <w:contextualSpacing/>
              <w:rPr>
                <w:rFonts w:eastAsia="宋体" w:cs="Times New Roman"/>
                <w:bCs/>
                <w:color w:val="auto"/>
                <w:szCs w:val="21"/>
              </w:rPr>
            </w:pPr>
            <w:r>
              <w:rPr>
                <w:rFonts w:hint="eastAsia" w:eastAsia="宋体" w:cs="Times New Roman"/>
                <w:bCs/>
                <w:color w:val="auto"/>
                <w:szCs w:val="21"/>
              </w:rPr>
              <w:t>波动范围，</w:t>
            </w:r>
            <w:r>
              <w:rPr>
                <w:rFonts w:eastAsia="宋体" w:cs="Times New Roman"/>
                <w:bCs/>
                <w:color w:val="auto"/>
                <w:szCs w:val="21"/>
              </w:rPr>
              <w:t>wt%</w:t>
            </w:r>
          </w:p>
        </w:tc>
        <w:tc>
          <w:tcPr>
            <w:tcW w:w="516" w:type="pct"/>
            <w:shd w:val="clear" w:color="000000" w:fill="FFFFFF"/>
            <w:noWrap/>
            <w:vAlign w:val="center"/>
          </w:tcPr>
          <w:p>
            <w:pPr>
              <w:pStyle w:val="5"/>
              <w:spacing w:line="240" w:lineRule="auto"/>
              <w:contextualSpacing/>
              <w:rPr>
                <w:rFonts w:eastAsia="宋体" w:cs="Times New Roman"/>
                <w:b w:val="0"/>
                <w:color w:val="auto"/>
                <w:szCs w:val="21"/>
              </w:rPr>
            </w:pPr>
            <w:r>
              <w:rPr>
                <w:rFonts w:eastAsia="宋体" w:cs="Times New Roman"/>
                <w:b w:val="0"/>
                <w:color w:val="auto"/>
                <w:szCs w:val="21"/>
              </w:rPr>
              <w:t>30~50</w:t>
            </w:r>
          </w:p>
        </w:tc>
        <w:tc>
          <w:tcPr>
            <w:tcW w:w="431" w:type="pct"/>
            <w:shd w:val="clear" w:color="000000" w:fill="FFFFFF"/>
            <w:noWrap/>
            <w:vAlign w:val="center"/>
          </w:tcPr>
          <w:p>
            <w:pPr>
              <w:pStyle w:val="5"/>
              <w:spacing w:line="240" w:lineRule="auto"/>
              <w:contextualSpacing/>
              <w:rPr>
                <w:rFonts w:eastAsia="宋体" w:cs="Times New Roman"/>
                <w:b w:val="0"/>
                <w:color w:val="auto"/>
                <w:szCs w:val="21"/>
              </w:rPr>
            </w:pPr>
            <w:r>
              <w:rPr>
                <w:rFonts w:eastAsia="宋体" w:cs="Times New Roman"/>
                <w:b w:val="0"/>
                <w:color w:val="auto"/>
                <w:szCs w:val="21"/>
              </w:rPr>
              <w:t>5~7</w:t>
            </w:r>
          </w:p>
        </w:tc>
        <w:tc>
          <w:tcPr>
            <w:tcW w:w="428" w:type="pct"/>
            <w:shd w:val="clear" w:color="000000" w:fill="FFFFFF"/>
            <w:noWrap/>
            <w:vAlign w:val="center"/>
          </w:tcPr>
          <w:p>
            <w:pPr>
              <w:pStyle w:val="5"/>
              <w:spacing w:line="240" w:lineRule="auto"/>
              <w:contextualSpacing/>
              <w:rPr>
                <w:rFonts w:eastAsia="宋体" w:cs="Times New Roman"/>
                <w:b w:val="0"/>
                <w:color w:val="auto"/>
                <w:szCs w:val="21"/>
              </w:rPr>
            </w:pPr>
            <w:r>
              <w:rPr>
                <w:rFonts w:eastAsia="宋体" w:cs="Times New Roman"/>
                <w:b w:val="0"/>
                <w:color w:val="auto"/>
                <w:szCs w:val="21"/>
              </w:rPr>
              <w:t>8~10</w:t>
            </w:r>
          </w:p>
        </w:tc>
        <w:tc>
          <w:tcPr>
            <w:tcW w:w="430" w:type="pct"/>
            <w:shd w:val="clear" w:color="000000" w:fill="FFFFFF"/>
            <w:noWrap/>
            <w:vAlign w:val="center"/>
          </w:tcPr>
          <w:p>
            <w:pPr>
              <w:pStyle w:val="5"/>
              <w:spacing w:line="240" w:lineRule="auto"/>
              <w:contextualSpacing/>
              <w:rPr>
                <w:rFonts w:eastAsia="宋体" w:cs="Times New Roman"/>
                <w:b w:val="0"/>
                <w:color w:val="auto"/>
                <w:szCs w:val="21"/>
              </w:rPr>
            </w:pPr>
            <w:r>
              <w:rPr>
                <w:rFonts w:eastAsia="宋体" w:cs="Times New Roman"/>
                <w:b w:val="0"/>
                <w:color w:val="auto"/>
                <w:szCs w:val="21"/>
              </w:rPr>
              <w:t>0~1</w:t>
            </w:r>
          </w:p>
        </w:tc>
        <w:tc>
          <w:tcPr>
            <w:tcW w:w="431" w:type="pct"/>
            <w:shd w:val="clear" w:color="000000" w:fill="FFFFFF"/>
            <w:noWrap/>
            <w:vAlign w:val="center"/>
          </w:tcPr>
          <w:p>
            <w:pPr>
              <w:pStyle w:val="5"/>
              <w:spacing w:line="240" w:lineRule="auto"/>
              <w:contextualSpacing/>
              <w:rPr>
                <w:rFonts w:eastAsia="宋体" w:cs="Times New Roman"/>
                <w:b w:val="0"/>
                <w:color w:val="auto"/>
                <w:szCs w:val="21"/>
              </w:rPr>
            </w:pPr>
            <w:r>
              <w:rPr>
                <w:rFonts w:eastAsia="宋体" w:cs="Times New Roman"/>
                <w:b w:val="0"/>
                <w:color w:val="auto"/>
                <w:szCs w:val="21"/>
              </w:rPr>
              <w:t>0~0.6</w:t>
            </w:r>
          </w:p>
        </w:tc>
        <w:tc>
          <w:tcPr>
            <w:tcW w:w="428" w:type="pct"/>
            <w:shd w:val="clear" w:color="000000" w:fill="FFFFFF"/>
            <w:noWrap/>
            <w:vAlign w:val="center"/>
          </w:tcPr>
          <w:p>
            <w:pPr>
              <w:pStyle w:val="5"/>
              <w:spacing w:line="240" w:lineRule="auto"/>
              <w:contextualSpacing/>
              <w:rPr>
                <w:rFonts w:eastAsia="宋体" w:cs="Times New Roman"/>
                <w:b w:val="0"/>
                <w:color w:val="auto"/>
                <w:szCs w:val="21"/>
              </w:rPr>
            </w:pPr>
            <w:r>
              <w:rPr>
                <w:rFonts w:eastAsia="宋体" w:cs="Times New Roman"/>
                <w:b w:val="0"/>
                <w:color w:val="auto"/>
                <w:szCs w:val="21"/>
              </w:rPr>
              <w:t>0~3</w:t>
            </w:r>
          </w:p>
        </w:tc>
        <w:tc>
          <w:tcPr>
            <w:tcW w:w="452" w:type="pct"/>
            <w:shd w:val="clear" w:color="000000" w:fill="FFFFFF"/>
            <w:noWrap/>
            <w:vAlign w:val="center"/>
          </w:tcPr>
          <w:p>
            <w:pPr>
              <w:pStyle w:val="5"/>
              <w:spacing w:line="240" w:lineRule="auto"/>
              <w:contextualSpacing/>
              <w:rPr>
                <w:rFonts w:eastAsia="宋体" w:cs="Times New Roman"/>
                <w:b w:val="0"/>
                <w:color w:val="auto"/>
                <w:szCs w:val="21"/>
              </w:rPr>
            </w:pPr>
            <w:r>
              <w:rPr>
                <w:rFonts w:eastAsia="宋体" w:cs="Times New Roman"/>
                <w:b w:val="0"/>
                <w:color w:val="auto"/>
                <w:szCs w:val="21"/>
              </w:rPr>
              <w:t>11~20</w:t>
            </w:r>
          </w:p>
        </w:tc>
        <w:tc>
          <w:tcPr>
            <w:tcW w:w="515" w:type="pct"/>
            <w:shd w:val="clear" w:color="000000" w:fill="FFFFFF"/>
            <w:noWrap/>
            <w:vAlign w:val="center"/>
          </w:tcPr>
          <w:p>
            <w:pPr>
              <w:pStyle w:val="5"/>
              <w:spacing w:line="240" w:lineRule="auto"/>
              <w:contextualSpacing/>
              <w:rPr>
                <w:rFonts w:eastAsia="宋体" w:cs="Times New Roman"/>
                <w:b w:val="0"/>
                <w:color w:val="auto"/>
                <w:szCs w:val="21"/>
              </w:rPr>
            </w:pPr>
            <w:r>
              <w:rPr>
                <w:rFonts w:eastAsia="宋体" w:cs="Times New Roman"/>
                <w:b w:val="0"/>
                <w:color w:val="auto"/>
                <w:szCs w:val="21"/>
              </w:rPr>
              <w:t>10~30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370" w:type="pct"/>
            <w:shd w:val="clear" w:color="000000" w:fill="FFFFFF"/>
            <w:noWrap/>
            <w:vAlign w:val="center"/>
          </w:tcPr>
          <w:p>
            <w:pPr>
              <w:pStyle w:val="5"/>
              <w:spacing w:line="240" w:lineRule="auto"/>
              <w:contextualSpacing/>
              <w:rPr>
                <w:rFonts w:eastAsia="宋体" w:cs="Times New Roman"/>
                <w:bCs/>
                <w:color w:val="auto"/>
                <w:szCs w:val="21"/>
              </w:rPr>
            </w:pPr>
            <w:r>
              <w:rPr>
                <w:rFonts w:hint="eastAsia" w:eastAsia="宋体" w:cs="Times New Roman"/>
                <w:bCs/>
                <w:color w:val="auto"/>
                <w:szCs w:val="21"/>
              </w:rPr>
              <w:t>设计热值波动范围</w:t>
            </w:r>
          </w:p>
          <w:p>
            <w:pPr>
              <w:pStyle w:val="5"/>
              <w:spacing w:line="240" w:lineRule="auto"/>
              <w:contextualSpacing/>
              <w:rPr>
                <w:rFonts w:eastAsia="宋体" w:cs="Times New Roman"/>
                <w:bCs/>
                <w:color w:val="auto"/>
                <w:szCs w:val="21"/>
              </w:rPr>
            </w:pPr>
            <w:r>
              <w:rPr>
                <w:rFonts w:hint="eastAsia" w:eastAsia="宋体" w:cs="Times New Roman"/>
                <w:bCs/>
                <w:color w:val="auto"/>
                <w:szCs w:val="21"/>
              </w:rPr>
              <w:t>（低位热值）</w:t>
            </w:r>
          </w:p>
        </w:tc>
        <w:tc>
          <w:tcPr>
            <w:tcW w:w="3630" w:type="pct"/>
            <w:gridSpan w:val="8"/>
            <w:shd w:val="clear" w:color="000000" w:fill="FFFFFF"/>
            <w:noWrap/>
            <w:vAlign w:val="center"/>
          </w:tcPr>
          <w:p>
            <w:pPr>
              <w:pStyle w:val="5"/>
              <w:spacing w:line="240" w:lineRule="auto"/>
              <w:contextualSpacing/>
              <w:rPr>
                <w:rFonts w:eastAsia="宋体" w:cs="Times New Roman"/>
                <w:b w:val="0"/>
                <w:color w:val="auto"/>
                <w:szCs w:val="21"/>
              </w:rPr>
            </w:pPr>
            <w:r>
              <w:rPr>
                <w:rFonts w:eastAsia="宋体" w:cs="Times New Roman"/>
                <w:b w:val="0"/>
                <w:color w:val="auto"/>
              </w:rPr>
              <w:t xml:space="preserve">3500-5500 </w:t>
            </w:r>
            <w:r>
              <w:rPr>
                <w:rFonts w:eastAsia="宋体" w:cs="Times New Roman"/>
                <w:b w:val="0"/>
                <w:color w:val="auto"/>
                <w:szCs w:val="21"/>
              </w:rPr>
              <w:t>kcal/kg</w:t>
            </w:r>
          </w:p>
        </w:tc>
      </w:tr>
    </w:tbl>
    <w:p>
      <w:pPr>
        <w:pStyle w:val="32"/>
        <w:ind w:firstLine="480"/>
        <w:rPr>
          <w:color w:val="auto"/>
        </w:rPr>
      </w:pPr>
    </w:p>
    <w:p>
      <w:pPr>
        <w:pStyle w:val="32"/>
        <w:ind w:firstLine="480"/>
        <w:rPr>
          <w:color w:val="auto"/>
        </w:rPr>
      </w:pPr>
      <w:r>
        <w:rPr>
          <w:rFonts w:hint="eastAsia"/>
          <w:color w:val="auto"/>
        </w:rPr>
        <w:t>经与多家余热锅炉供应商沟通及项目考察，目前危险废物焚烧处置项目可采用的余热锅炉形式主要有膜式壁锅炉、立式角管锅炉、膜式壁+对流锅炉等，在本标准条文5</w:t>
      </w:r>
      <w:r>
        <w:rPr>
          <w:color w:val="auto"/>
        </w:rPr>
        <w:t>.7.1</w:t>
      </w:r>
      <w:r>
        <w:rPr>
          <w:rFonts w:hint="eastAsia"/>
          <w:color w:val="auto"/>
        </w:rPr>
        <w:t>中作为参考形式提出。</w:t>
      </w:r>
    </w:p>
    <w:p>
      <w:pPr>
        <w:pStyle w:val="32"/>
        <w:ind w:firstLine="480"/>
        <w:rPr>
          <w:color w:val="auto"/>
        </w:rPr>
      </w:pPr>
      <w:r>
        <w:rPr>
          <w:rFonts w:hint="eastAsia"/>
          <w:color w:val="auto"/>
        </w:rPr>
        <w:t>标准条文</w:t>
      </w:r>
      <w:r>
        <w:rPr>
          <w:color w:val="auto"/>
        </w:rPr>
        <w:t>5.7.2</w:t>
      </w:r>
      <w:r>
        <w:rPr>
          <w:rFonts w:hint="eastAsia"/>
          <w:color w:val="auto"/>
        </w:rPr>
        <w:t>提出余热锅炉宜选择合适的在线清灰方式。余热锅炉的内部积灰主要部位为本体侧墙膜式壁。余热锅炉烟气温度段为1100~500℃，由于烟气飞灰中的钠、钾元素含量高，在800℃以上烟气段，所产生灰是熔融状态，粘结性强，易在锅炉受热面上结灰垢硬壳，通过振打吹扫只能减缓灰垢层的增长速度，积灰清除效果一般；在</w:t>
      </w:r>
      <w:r>
        <w:rPr>
          <w:color w:val="auto"/>
        </w:rPr>
        <w:t xml:space="preserve"> </w:t>
      </w:r>
      <w:r>
        <w:rPr>
          <w:rFonts w:hint="eastAsia"/>
          <w:color w:val="auto"/>
        </w:rPr>
        <w:t>800℃~500℃烟气段为粘附性和松散性状态，</w:t>
      </w:r>
      <w:r>
        <w:rPr>
          <w:color w:val="auto"/>
        </w:rPr>
        <w:t>质地较松软，即使积灰厚度增加也不会结成硬壳，通过振打吹扫</w:t>
      </w:r>
      <w:r>
        <w:rPr>
          <w:rFonts w:hint="eastAsia"/>
          <w:color w:val="auto"/>
        </w:rPr>
        <w:t>都</w:t>
      </w:r>
      <w:r>
        <w:rPr>
          <w:color w:val="auto"/>
        </w:rPr>
        <w:t>可清除。</w:t>
      </w:r>
      <w:r>
        <w:rPr>
          <w:rFonts w:hint="eastAsia"/>
          <w:color w:val="auto"/>
        </w:rPr>
        <w:t>一般的膜式壁锅炉常用在线清灰手段为激波清灰和机械振打装置，对比如下表。</w:t>
      </w:r>
    </w:p>
    <w:p>
      <w:pPr>
        <w:pStyle w:val="5"/>
        <w:numPr>
          <w:ilvl w:val="0"/>
          <w:numId w:val="11"/>
        </w:numPr>
        <w:spacing w:line="336" w:lineRule="auto"/>
        <w:rPr>
          <w:rFonts w:eastAsia="宋体" w:cs="Times New Roman"/>
          <w:color w:val="auto"/>
          <w:kern w:val="0"/>
          <w:szCs w:val="21"/>
        </w:rPr>
      </w:pPr>
      <w:r>
        <w:rPr>
          <w:rFonts w:eastAsia="宋体" w:cs="Times New Roman"/>
          <w:color w:val="auto"/>
          <w:kern w:val="0"/>
          <w:szCs w:val="21"/>
        </w:rPr>
        <w:t>在线</w:t>
      </w:r>
      <w:r>
        <w:rPr>
          <w:rFonts w:hint="eastAsia" w:eastAsia="宋体" w:cs="Times New Roman"/>
          <w:color w:val="auto"/>
          <w:kern w:val="0"/>
          <w:szCs w:val="21"/>
        </w:rPr>
        <w:t>清灰方式比较</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55"/>
        <w:gridCol w:w="3407"/>
        <w:gridCol w:w="32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5" w:type="dxa"/>
          </w:tcPr>
          <w:p>
            <w:pPr>
              <w:jc w:val="center"/>
              <w:rPr>
                <w:rFonts w:ascii="Times New Roman" w:hAnsi="Times New Roman" w:eastAsia="宋体" w:cs="Times New Roman"/>
                <w:b/>
                <w:color w:val="auto"/>
                <w:kern w:val="0"/>
                <w:sz w:val="21"/>
                <w:szCs w:val="21"/>
              </w:rPr>
            </w:pPr>
            <w:r>
              <w:rPr>
                <w:rFonts w:hint="eastAsia" w:ascii="Times New Roman" w:hAnsi="Times New Roman" w:eastAsia="宋体" w:cs="Times New Roman"/>
                <w:b/>
                <w:color w:val="auto"/>
                <w:kern w:val="0"/>
                <w:sz w:val="21"/>
                <w:szCs w:val="21"/>
              </w:rPr>
              <w:t>清灰方式</w:t>
            </w:r>
          </w:p>
        </w:tc>
        <w:tc>
          <w:tcPr>
            <w:tcW w:w="3407" w:type="dxa"/>
          </w:tcPr>
          <w:p>
            <w:pPr>
              <w:jc w:val="center"/>
              <w:rPr>
                <w:rFonts w:ascii="Times New Roman" w:hAnsi="Times New Roman" w:eastAsia="宋体" w:cs="Times New Roman"/>
                <w:b/>
                <w:color w:val="auto"/>
                <w:kern w:val="0"/>
                <w:sz w:val="21"/>
                <w:szCs w:val="21"/>
              </w:rPr>
            </w:pPr>
            <w:r>
              <w:rPr>
                <w:rFonts w:hint="eastAsia" w:ascii="Times New Roman" w:hAnsi="Times New Roman" w:eastAsia="宋体" w:cs="Times New Roman"/>
                <w:b/>
                <w:color w:val="auto"/>
                <w:kern w:val="0"/>
                <w:sz w:val="21"/>
                <w:szCs w:val="21"/>
              </w:rPr>
              <w:t>燃气脉冲激波吹灰</w:t>
            </w:r>
          </w:p>
        </w:tc>
        <w:tc>
          <w:tcPr>
            <w:tcW w:w="3260" w:type="dxa"/>
          </w:tcPr>
          <w:p>
            <w:pPr>
              <w:jc w:val="center"/>
              <w:rPr>
                <w:rFonts w:ascii="Times New Roman" w:hAnsi="Times New Roman" w:eastAsia="宋体" w:cs="Times New Roman"/>
                <w:b/>
                <w:color w:val="auto"/>
                <w:kern w:val="0"/>
                <w:sz w:val="21"/>
                <w:szCs w:val="21"/>
              </w:rPr>
            </w:pPr>
            <w:r>
              <w:rPr>
                <w:rFonts w:hint="eastAsia" w:ascii="Times New Roman" w:hAnsi="Times New Roman" w:eastAsia="宋体" w:cs="Times New Roman"/>
                <w:b/>
                <w:color w:val="auto"/>
                <w:kern w:val="0"/>
                <w:sz w:val="21"/>
                <w:szCs w:val="21"/>
              </w:rPr>
              <w:t>机械振打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5" w:type="dxa"/>
          </w:tcPr>
          <w:p>
            <w:pPr>
              <w:jc w:val="center"/>
              <w:rPr>
                <w:rFonts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rPr>
              <w:t>清灰原理</w:t>
            </w:r>
          </w:p>
        </w:tc>
        <w:tc>
          <w:tcPr>
            <w:tcW w:w="3407" w:type="dxa"/>
          </w:tcPr>
          <w:p>
            <w:pPr>
              <w:jc w:val="center"/>
              <w:rPr>
                <w:rFonts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rPr>
              <w:t>利用空气和可燃气体以适当比例混合，在脉冲罐中经高频点火产生爆燃，以冲击波的形式振荡、撞击、冲刷受热面</w:t>
            </w:r>
          </w:p>
        </w:tc>
        <w:tc>
          <w:tcPr>
            <w:tcW w:w="3260" w:type="dxa"/>
          </w:tcPr>
          <w:p>
            <w:pPr>
              <w:jc w:val="center"/>
              <w:rPr>
                <w:rFonts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rPr>
              <w:t>利用小容量电动机作为动力，按顺序对锅炉受热面外侧刚性梁进行锤击，在锤击的一瞬间使受热面产生强烈的振动，使黏附的积灰受到反复作用的应力而产生微小的裂痕，直到积灰的附着力遭到破坏而脱落。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5" w:type="dxa"/>
          </w:tcPr>
          <w:p>
            <w:pPr>
              <w:jc w:val="center"/>
              <w:rPr>
                <w:rFonts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rPr>
              <w:t>清灰效果</w:t>
            </w:r>
          </w:p>
        </w:tc>
        <w:tc>
          <w:tcPr>
            <w:tcW w:w="3407" w:type="dxa"/>
          </w:tcPr>
          <w:p>
            <w:pPr>
              <w:jc w:val="center"/>
              <w:rPr>
                <w:rFonts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rPr>
              <w:t>冲击波能量大，既适合松散性积灰又适合粘结性积灰</w:t>
            </w:r>
          </w:p>
        </w:tc>
        <w:tc>
          <w:tcPr>
            <w:tcW w:w="3260" w:type="dxa"/>
          </w:tcPr>
          <w:p>
            <w:pPr>
              <w:jc w:val="center"/>
              <w:rPr>
                <w:rFonts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rPr>
              <w:t>清灰范围较窄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5" w:type="dxa"/>
          </w:tcPr>
          <w:p>
            <w:pPr>
              <w:jc w:val="center"/>
              <w:rPr>
                <w:rFonts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rPr>
              <w:t>优点</w:t>
            </w:r>
          </w:p>
        </w:tc>
        <w:tc>
          <w:tcPr>
            <w:tcW w:w="3407" w:type="dxa"/>
          </w:tcPr>
          <w:p>
            <w:pPr>
              <w:jc w:val="center"/>
              <w:rPr>
                <w:rFonts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rPr>
              <w:t>结构尺寸小，运行程序化，检修工作量小。</w:t>
            </w:r>
          </w:p>
        </w:tc>
        <w:tc>
          <w:tcPr>
            <w:tcW w:w="3260" w:type="dxa"/>
          </w:tcPr>
          <w:p>
            <w:pPr>
              <w:jc w:val="center"/>
              <w:rPr>
                <w:rFonts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rPr>
              <w:t>消耗动力少，不会对烟气产生额外介质。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5" w:type="dxa"/>
          </w:tcPr>
          <w:p>
            <w:pPr>
              <w:jc w:val="center"/>
              <w:rPr>
                <w:rFonts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rPr>
              <w:t>缺点</w:t>
            </w:r>
          </w:p>
        </w:tc>
        <w:tc>
          <w:tcPr>
            <w:tcW w:w="3407" w:type="dxa"/>
          </w:tcPr>
          <w:p>
            <w:pPr>
              <w:jc w:val="center"/>
              <w:rPr>
                <w:rFonts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rPr>
              <w:t>吹灰耗费燃气，运行成本高且燃气使用有安全隐患，定期采购乙炔和日常管理消耗人力。</w:t>
            </w:r>
          </w:p>
        </w:tc>
        <w:tc>
          <w:tcPr>
            <w:tcW w:w="3260" w:type="dxa"/>
          </w:tcPr>
          <w:p>
            <w:pPr>
              <w:jc w:val="center"/>
              <w:rPr>
                <w:rFonts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rPr>
              <w:t>对锅炉管子和汉口焊缝使用寿命和强度有一定不良影响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5" w:type="dxa"/>
          </w:tcPr>
          <w:p>
            <w:pPr>
              <w:jc w:val="center"/>
              <w:rPr>
                <w:rFonts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rPr>
              <w:t>运行成本</w:t>
            </w:r>
          </w:p>
        </w:tc>
        <w:tc>
          <w:tcPr>
            <w:tcW w:w="3407" w:type="dxa"/>
          </w:tcPr>
          <w:p>
            <w:pPr>
              <w:jc w:val="center"/>
              <w:rPr>
                <w:rFonts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rPr>
              <w:t>高</w:t>
            </w:r>
          </w:p>
        </w:tc>
        <w:tc>
          <w:tcPr>
            <w:tcW w:w="3260" w:type="dxa"/>
          </w:tcPr>
          <w:p>
            <w:pPr>
              <w:jc w:val="center"/>
              <w:rPr>
                <w:rFonts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rPr>
              <w:t>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5" w:type="dxa"/>
          </w:tcPr>
          <w:p>
            <w:pPr>
              <w:jc w:val="center"/>
              <w:rPr>
                <w:rFonts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rPr>
              <w:t>检修维护</w:t>
            </w:r>
          </w:p>
        </w:tc>
        <w:tc>
          <w:tcPr>
            <w:tcW w:w="3407" w:type="dxa"/>
          </w:tcPr>
          <w:p>
            <w:pPr>
              <w:jc w:val="center"/>
              <w:rPr>
                <w:rFonts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rPr>
              <w:t>简单</w:t>
            </w:r>
          </w:p>
        </w:tc>
        <w:tc>
          <w:tcPr>
            <w:tcW w:w="3260" w:type="dxa"/>
          </w:tcPr>
          <w:p>
            <w:pPr>
              <w:jc w:val="center"/>
              <w:rPr>
                <w:rFonts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rPr>
              <w:t>简单</w:t>
            </w:r>
          </w:p>
        </w:tc>
      </w:tr>
    </w:tbl>
    <w:p>
      <w:pPr>
        <w:pStyle w:val="32"/>
        <w:ind w:firstLine="480"/>
        <w:rPr>
          <w:color w:val="auto"/>
        </w:rPr>
      </w:pPr>
      <w:r>
        <w:rPr>
          <w:rFonts w:hint="eastAsia"/>
          <w:color w:val="auto"/>
        </w:rPr>
        <w:t>激波清灰装置广泛运用于生活垃圾项目、危废项目余热锅炉中，从吹灰效果考虑，激波清灰方案优于机械振打吹灰方案。 经调研，国内一些大中城市的医废项目在线清灰手段应用情况见下表。</w:t>
      </w:r>
    </w:p>
    <w:p>
      <w:pPr>
        <w:pStyle w:val="5"/>
        <w:numPr>
          <w:ilvl w:val="0"/>
          <w:numId w:val="11"/>
        </w:numPr>
        <w:spacing w:line="336" w:lineRule="auto"/>
        <w:rPr>
          <w:rFonts w:eastAsia="宋体" w:cs="Times New Roman"/>
          <w:color w:val="auto"/>
          <w:kern w:val="0"/>
          <w:szCs w:val="21"/>
        </w:rPr>
      </w:pPr>
      <w:r>
        <w:rPr>
          <w:rFonts w:hint="eastAsia" w:eastAsia="宋体" w:cs="Times New Roman"/>
          <w:color w:val="auto"/>
          <w:kern w:val="0"/>
          <w:szCs w:val="21"/>
        </w:rPr>
        <w:t>医废项目在线清灰措施</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25"/>
        <w:gridCol w:w="2856"/>
        <w:gridCol w:w="28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04" w:type="dxa"/>
          </w:tcPr>
          <w:p>
            <w:pPr>
              <w:jc w:val="center"/>
              <w:rPr>
                <w:rFonts w:ascii="Times New Roman" w:hAnsi="Times New Roman" w:eastAsia="宋体" w:cs="Times New Roman"/>
                <w:b/>
                <w:color w:val="auto"/>
                <w:kern w:val="0"/>
                <w:sz w:val="21"/>
                <w:szCs w:val="21"/>
              </w:rPr>
            </w:pPr>
            <w:r>
              <w:rPr>
                <w:rFonts w:hint="eastAsia" w:ascii="Times New Roman" w:hAnsi="Times New Roman" w:eastAsia="宋体" w:cs="Times New Roman"/>
                <w:b/>
                <w:color w:val="auto"/>
                <w:kern w:val="0"/>
                <w:sz w:val="21"/>
                <w:szCs w:val="21"/>
              </w:rPr>
              <w:t>项目</w:t>
            </w:r>
          </w:p>
        </w:tc>
        <w:tc>
          <w:tcPr>
            <w:tcW w:w="3005" w:type="dxa"/>
          </w:tcPr>
          <w:p>
            <w:pPr>
              <w:jc w:val="center"/>
              <w:rPr>
                <w:rFonts w:ascii="Times New Roman" w:hAnsi="Times New Roman" w:eastAsia="宋体" w:cs="Times New Roman"/>
                <w:b/>
                <w:color w:val="auto"/>
                <w:kern w:val="0"/>
                <w:sz w:val="21"/>
                <w:szCs w:val="21"/>
              </w:rPr>
            </w:pPr>
            <w:r>
              <w:rPr>
                <w:rFonts w:hint="eastAsia" w:ascii="Times New Roman" w:hAnsi="Times New Roman" w:eastAsia="宋体" w:cs="Times New Roman"/>
                <w:b/>
                <w:color w:val="auto"/>
                <w:kern w:val="0"/>
                <w:sz w:val="21"/>
                <w:szCs w:val="21"/>
              </w:rPr>
              <w:t>处理规模</w:t>
            </w:r>
          </w:p>
        </w:tc>
        <w:tc>
          <w:tcPr>
            <w:tcW w:w="3005" w:type="dxa"/>
          </w:tcPr>
          <w:p>
            <w:pPr>
              <w:jc w:val="center"/>
              <w:rPr>
                <w:rFonts w:ascii="Times New Roman" w:hAnsi="Times New Roman" w:eastAsia="宋体" w:cs="Times New Roman"/>
                <w:b/>
                <w:color w:val="auto"/>
                <w:kern w:val="0"/>
                <w:sz w:val="21"/>
                <w:szCs w:val="21"/>
              </w:rPr>
            </w:pPr>
            <w:r>
              <w:rPr>
                <w:rFonts w:hint="eastAsia" w:ascii="Times New Roman" w:hAnsi="Times New Roman" w:eastAsia="宋体" w:cs="Times New Roman"/>
                <w:b/>
                <w:color w:val="auto"/>
                <w:kern w:val="0"/>
                <w:sz w:val="21"/>
                <w:szCs w:val="21"/>
              </w:rPr>
              <w:t>在线清灰措施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04" w:type="dxa"/>
          </w:tcPr>
          <w:p>
            <w:pPr>
              <w:jc w:val="center"/>
              <w:rPr>
                <w:rFonts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rPr>
              <w:t>成都瀚洋</w:t>
            </w:r>
          </w:p>
        </w:tc>
        <w:tc>
          <w:tcPr>
            <w:tcW w:w="3005" w:type="dxa"/>
          </w:tcPr>
          <w:p>
            <w:pPr>
              <w:jc w:val="center"/>
              <w:rPr>
                <w:rFonts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rPr>
              <w:t>2×30吨/天</w:t>
            </w:r>
          </w:p>
        </w:tc>
        <w:tc>
          <w:tcPr>
            <w:tcW w:w="3005" w:type="dxa"/>
          </w:tcPr>
          <w:p>
            <w:pPr>
              <w:jc w:val="center"/>
              <w:rPr>
                <w:rFonts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rPr>
              <w:t>激波清灰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04" w:type="dxa"/>
          </w:tcPr>
          <w:p>
            <w:pPr>
              <w:jc w:val="center"/>
              <w:rPr>
                <w:rFonts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rPr>
              <w:t>南京汇和瀚洋</w:t>
            </w:r>
          </w:p>
        </w:tc>
        <w:tc>
          <w:tcPr>
            <w:tcW w:w="3005" w:type="dxa"/>
          </w:tcPr>
          <w:p>
            <w:pPr>
              <w:jc w:val="center"/>
              <w:rPr>
                <w:rFonts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rPr>
              <w:t>2×30吨/天+2×30吨/天</w:t>
            </w:r>
          </w:p>
        </w:tc>
        <w:tc>
          <w:tcPr>
            <w:tcW w:w="3005" w:type="dxa"/>
          </w:tcPr>
          <w:p>
            <w:pPr>
              <w:jc w:val="center"/>
              <w:rPr>
                <w:rFonts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rPr>
              <w:t>激波清灰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04" w:type="dxa"/>
          </w:tcPr>
          <w:p>
            <w:pPr>
              <w:jc w:val="center"/>
              <w:rPr>
                <w:rFonts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rPr>
              <w:t>天津汇和瀚洋</w:t>
            </w:r>
          </w:p>
        </w:tc>
        <w:tc>
          <w:tcPr>
            <w:tcW w:w="3005" w:type="dxa"/>
          </w:tcPr>
          <w:p>
            <w:pPr>
              <w:jc w:val="center"/>
              <w:rPr>
                <w:rFonts w:ascii="Times New Roman" w:hAnsi="Times New Roman" w:eastAsia="宋体" w:cs="Times New Roman"/>
                <w:bCs/>
                <w:color w:val="auto"/>
                <w:kern w:val="0"/>
                <w:sz w:val="21"/>
                <w:szCs w:val="21"/>
              </w:rPr>
            </w:pPr>
            <w:r>
              <w:rPr>
                <w:rFonts w:ascii="Times New Roman" w:hAnsi="Times New Roman" w:eastAsia="宋体" w:cs="Times New Roman"/>
                <w:bCs/>
                <w:color w:val="auto"/>
                <w:kern w:val="0"/>
                <w:sz w:val="21"/>
                <w:szCs w:val="21"/>
              </w:rPr>
              <w:t>2</w:t>
            </w:r>
            <w:r>
              <w:rPr>
                <w:rFonts w:hint="eastAsia" w:ascii="Times New Roman" w:hAnsi="Times New Roman" w:eastAsia="宋体" w:cs="Times New Roman"/>
                <w:bCs/>
                <w:color w:val="auto"/>
                <w:kern w:val="0"/>
                <w:sz w:val="21"/>
                <w:szCs w:val="21"/>
              </w:rPr>
              <w:t>×30吨/天+</w:t>
            </w:r>
            <w:r>
              <w:rPr>
                <w:rFonts w:ascii="Times New Roman" w:hAnsi="Times New Roman" w:eastAsia="宋体" w:cs="Times New Roman"/>
                <w:bCs/>
                <w:color w:val="auto"/>
                <w:kern w:val="0"/>
                <w:sz w:val="21"/>
                <w:szCs w:val="21"/>
              </w:rPr>
              <w:t>1</w:t>
            </w:r>
            <w:r>
              <w:rPr>
                <w:rFonts w:hint="eastAsia" w:ascii="Times New Roman" w:hAnsi="Times New Roman" w:eastAsia="宋体" w:cs="Times New Roman"/>
                <w:bCs/>
                <w:color w:val="auto"/>
                <w:kern w:val="0"/>
                <w:sz w:val="21"/>
                <w:szCs w:val="21"/>
              </w:rPr>
              <w:t>×30吨/天</w:t>
            </w:r>
          </w:p>
        </w:tc>
        <w:tc>
          <w:tcPr>
            <w:tcW w:w="3005" w:type="dxa"/>
          </w:tcPr>
          <w:p>
            <w:pPr>
              <w:jc w:val="center"/>
              <w:rPr>
                <w:rFonts w:ascii="Times New Roman" w:hAnsi="Times New Roman" w:eastAsia="宋体" w:cs="Times New Roman"/>
                <w:bCs/>
                <w:color w:val="auto"/>
                <w:kern w:val="0"/>
                <w:sz w:val="21"/>
                <w:szCs w:val="21"/>
              </w:rPr>
            </w:pPr>
            <w:r>
              <w:rPr>
                <w:rFonts w:hint="eastAsia" w:ascii="Times New Roman" w:hAnsi="Times New Roman" w:eastAsia="宋体" w:cs="Times New Roman"/>
                <w:bCs/>
                <w:color w:val="auto"/>
                <w:kern w:val="0"/>
                <w:sz w:val="21"/>
                <w:szCs w:val="21"/>
              </w:rPr>
              <w:t>无（预留清灰接口）</w:t>
            </w:r>
          </w:p>
        </w:tc>
      </w:tr>
    </w:tbl>
    <w:p>
      <w:pPr>
        <w:pStyle w:val="4"/>
        <w:rPr>
          <w:color w:val="auto"/>
        </w:rPr>
      </w:pPr>
      <w:bookmarkStart w:id="69" w:name="_Toc11129"/>
      <w:r>
        <w:rPr>
          <w:rFonts w:hint="eastAsia"/>
          <w:color w:val="auto"/>
        </w:rPr>
        <w:t>烟气净化系统</w:t>
      </w:r>
      <w:bookmarkEnd w:id="69"/>
    </w:p>
    <w:p>
      <w:pPr>
        <w:pStyle w:val="32"/>
        <w:ind w:firstLine="480"/>
        <w:rPr>
          <w:color w:val="auto"/>
        </w:rPr>
      </w:pPr>
      <w:r>
        <w:rPr>
          <w:color w:val="auto"/>
        </w:rPr>
        <w:t>标准条文</w:t>
      </w:r>
      <w:r>
        <w:rPr>
          <w:rFonts w:hint="eastAsia"/>
          <w:color w:val="auto"/>
        </w:rPr>
        <w:t>5</w:t>
      </w:r>
      <w:r>
        <w:rPr>
          <w:color w:val="auto"/>
        </w:rPr>
        <w:t>.</w:t>
      </w:r>
      <w:r>
        <w:rPr>
          <w:rFonts w:hint="eastAsia"/>
          <w:color w:val="auto"/>
        </w:rPr>
        <w:t>8</w:t>
      </w:r>
      <w:r>
        <w:rPr>
          <w:color w:val="auto"/>
        </w:rPr>
        <w:t>提出了医疗废物等离子体集中</w:t>
      </w:r>
      <w:r>
        <w:rPr>
          <w:rFonts w:hint="eastAsia"/>
          <w:color w:val="auto"/>
          <w:lang w:val="en-US" w:eastAsia="zh-CN"/>
        </w:rPr>
        <w:t>处理</w:t>
      </w:r>
      <w:r>
        <w:rPr>
          <w:color w:val="auto"/>
        </w:rPr>
        <w:t>处置</w:t>
      </w:r>
      <w:r>
        <w:rPr>
          <w:rFonts w:hint="eastAsia"/>
          <w:color w:val="auto"/>
          <w:lang w:val="en-US" w:eastAsia="zh-CN"/>
        </w:rPr>
        <w:t>工程</w:t>
      </w:r>
      <w:r>
        <w:rPr>
          <w:color w:val="auto"/>
        </w:rPr>
        <w:t>烟气净化系统的通用性要求。参考了《医疗废物处理处置污染控制标准》（GB 39707）和《医疗废物集中焚烧处置工程建设技术规范》（</w:t>
      </w:r>
      <w:r>
        <w:rPr>
          <w:rFonts w:hint="eastAsia"/>
          <w:color w:val="auto"/>
        </w:rPr>
        <w:t>HJ</w:t>
      </w:r>
      <w:r>
        <w:rPr>
          <w:color w:val="auto"/>
        </w:rPr>
        <w:t xml:space="preserve"> 177）条文相关规定。</w:t>
      </w:r>
    </w:p>
    <w:p>
      <w:pPr>
        <w:pStyle w:val="32"/>
        <w:ind w:firstLine="480"/>
        <w:rPr>
          <w:color w:val="auto"/>
          <w:kern w:val="0"/>
          <w:szCs w:val="21"/>
        </w:rPr>
      </w:pPr>
      <w:r>
        <w:rPr>
          <w:color w:val="auto"/>
          <w:kern w:val="0"/>
          <w:szCs w:val="21"/>
        </w:rPr>
        <w:t>医疗废物等离子体处置设施应具有完整的烟气净化装置，</w:t>
      </w:r>
      <w:r>
        <w:rPr>
          <w:rFonts w:hint="eastAsia"/>
          <w:color w:val="auto"/>
          <w:kern w:val="0"/>
          <w:szCs w:val="21"/>
        </w:rPr>
        <w:t>标准条文5.8.1</w:t>
      </w:r>
      <w:r>
        <w:rPr>
          <w:color w:val="auto"/>
          <w:kern w:val="0"/>
          <w:szCs w:val="21"/>
        </w:rPr>
        <w:t>对烟气净化系统的基本功能</w:t>
      </w:r>
      <w:r>
        <w:rPr>
          <w:rFonts w:hint="eastAsia"/>
          <w:color w:val="auto"/>
          <w:kern w:val="0"/>
          <w:szCs w:val="21"/>
        </w:rPr>
        <w:t>做出</w:t>
      </w:r>
      <w:r>
        <w:rPr>
          <w:color w:val="auto"/>
          <w:kern w:val="0"/>
          <w:szCs w:val="21"/>
        </w:rPr>
        <w:t>规定，</w:t>
      </w:r>
      <w:r>
        <w:rPr>
          <w:rFonts w:hint="eastAsia"/>
          <w:color w:val="auto"/>
          <w:kern w:val="0"/>
          <w:szCs w:val="21"/>
        </w:rPr>
        <w:t>至少</w:t>
      </w:r>
      <w:r>
        <w:rPr>
          <w:color w:val="auto"/>
          <w:kern w:val="0"/>
          <w:szCs w:val="21"/>
        </w:rPr>
        <w:t>应具备</w:t>
      </w:r>
      <w:r>
        <w:rPr>
          <w:rFonts w:hint="eastAsia"/>
          <w:color w:val="auto"/>
          <w:kern w:val="0"/>
          <w:szCs w:val="21"/>
        </w:rPr>
        <w:t>急冷、</w:t>
      </w:r>
      <w:r>
        <w:rPr>
          <w:color w:val="auto"/>
          <w:kern w:val="0"/>
          <w:szCs w:val="21"/>
        </w:rPr>
        <w:t>除尘、脱酸、</w:t>
      </w:r>
      <w:r>
        <w:rPr>
          <w:rFonts w:hint="eastAsia"/>
          <w:color w:val="auto"/>
          <w:kern w:val="0"/>
          <w:szCs w:val="21"/>
        </w:rPr>
        <w:t>脱硝、</w:t>
      </w:r>
      <w:r>
        <w:rPr>
          <w:color w:val="auto"/>
          <w:kern w:val="0"/>
          <w:szCs w:val="21"/>
        </w:rPr>
        <w:t>去除二噁英类及重金属</w:t>
      </w:r>
      <w:r>
        <w:rPr>
          <w:rFonts w:hint="eastAsia"/>
          <w:color w:val="auto"/>
          <w:kern w:val="0"/>
          <w:szCs w:val="21"/>
        </w:rPr>
        <w:t>等</w:t>
      </w:r>
      <w:r>
        <w:rPr>
          <w:color w:val="auto"/>
          <w:kern w:val="0"/>
          <w:szCs w:val="21"/>
        </w:rPr>
        <w:t>污染物的功能。</w:t>
      </w:r>
      <w:r>
        <w:rPr>
          <w:rFonts w:hint="eastAsia"/>
          <w:color w:val="auto"/>
          <w:kern w:val="0"/>
          <w:szCs w:val="21"/>
        </w:rPr>
        <w:t>这是根据焚烧烟气的主要污染物成分及相关的污染物排放控制要求而拟定的。</w:t>
      </w:r>
    </w:p>
    <w:p>
      <w:pPr>
        <w:pStyle w:val="32"/>
        <w:ind w:firstLine="480"/>
        <w:rPr>
          <w:color w:val="auto"/>
          <w:kern w:val="0"/>
          <w:szCs w:val="21"/>
        </w:rPr>
      </w:pPr>
      <w:r>
        <w:rPr>
          <w:rFonts w:hint="eastAsia"/>
          <w:color w:val="auto"/>
          <w:kern w:val="0"/>
          <w:szCs w:val="21"/>
        </w:rPr>
        <w:t>每台医疗废物气化炉宜单独设置烟气净化装置，其主要净化单元包括：</w:t>
      </w:r>
    </w:p>
    <w:p>
      <w:pPr>
        <w:pStyle w:val="32"/>
        <w:ind w:firstLine="480"/>
        <w:rPr>
          <w:color w:val="auto"/>
        </w:rPr>
      </w:pPr>
      <w:r>
        <w:rPr>
          <w:rFonts w:hint="eastAsia"/>
          <w:color w:val="auto"/>
          <w:kern w:val="0"/>
          <w:szCs w:val="21"/>
        </w:rPr>
        <w:t>（1）针对急冷，要求可以对</w:t>
      </w:r>
      <w:r>
        <w:rPr>
          <w:color w:val="auto"/>
        </w:rPr>
        <w:t>高温烟气采取快速冷却措施，控制烟气</w:t>
      </w:r>
      <w:r>
        <w:rPr>
          <w:rFonts w:hAnsi="宋体"/>
          <w:color w:val="auto"/>
        </w:rPr>
        <w:t>在200~500℃温</w:t>
      </w:r>
      <w:r>
        <w:rPr>
          <w:color w:val="auto"/>
        </w:rPr>
        <w:t>度区间的停留时间</w:t>
      </w:r>
      <w:r>
        <w:rPr>
          <w:rFonts w:hint="eastAsia"/>
          <w:color w:val="auto"/>
        </w:rPr>
        <w:t>，以避免二噁英类物质的再生成。</w:t>
      </w:r>
    </w:p>
    <w:p>
      <w:pPr>
        <w:pStyle w:val="32"/>
        <w:ind w:firstLine="480"/>
        <w:rPr>
          <w:color w:val="auto"/>
        </w:rPr>
      </w:pPr>
      <w:r>
        <w:rPr>
          <w:rFonts w:hint="eastAsia"/>
          <w:color w:val="auto"/>
        </w:rPr>
        <w:t>（2）针对</w:t>
      </w:r>
      <w:r>
        <w:rPr>
          <w:color w:val="auto"/>
        </w:rPr>
        <w:t>氯化氢、氟化氢和硫氧化物</w:t>
      </w:r>
      <w:r>
        <w:rPr>
          <w:rFonts w:hint="eastAsia"/>
          <w:color w:val="auto"/>
        </w:rPr>
        <w:t>等酸性污染物，可采用</w:t>
      </w:r>
      <w:r>
        <w:rPr>
          <w:color w:val="auto"/>
        </w:rPr>
        <w:t>湿法、半干法、干法或多种脱酸工艺的组合。可能产生废水的脱酸工艺，必须配备废水处理系统</w:t>
      </w:r>
      <w:r>
        <w:rPr>
          <w:rFonts w:hint="eastAsia"/>
          <w:color w:val="auto"/>
        </w:rPr>
        <w:t>，可以采用的脱酸组合工艺包括“半干法+干法”、“半干法+湿法”、“干法+湿法”、“半干法+干法+湿法”等，脱酸药剂有石灰、石灰石、氢氧化钠、小苏打等多种可选，可根据具体项目需求及技术可行性、经济可行性分析综合考虑选择。</w:t>
      </w:r>
    </w:p>
    <w:p>
      <w:pPr>
        <w:pStyle w:val="32"/>
        <w:ind w:firstLine="480"/>
        <w:rPr>
          <w:color w:val="auto"/>
        </w:rPr>
      </w:pPr>
      <w:r>
        <w:rPr>
          <w:rFonts w:hint="eastAsia"/>
          <w:color w:val="auto"/>
        </w:rPr>
        <w:t>（3）除尘装置应优先选择布袋除尘器，与干法脱酸、活性炭吸附设备联合使用能有效脱酸、除二噁英类物质以及重金属。根据江苏省《危险废物综合利用与处置技术规范</w:t>
      </w:r>
      <w:r>
        <w:rPr>
          <w:color w:val="auto"/>
        </w:rPr>
        <w:t xml:space="preserve"> 通则</w:t>
      </w:r>
      <w:r>
        <w:rPr>
          <w:rFonts w:hint="eastAsia"/>
          <w:color w:val="auto"/>
        </w:rPr>
        <w:t>》</w:t>
      </w:r>
      <w:r>
        <w:rPr>
          <w:color w:val="auto"/>
        </w:rPr>
        <w:t>（DB32／T 4370-2022）</w:t>
      </w:r>
      <w:r>
        <w:rPr>
          <w:rFonts w:hint="eastAsia"/>
          <w:color w:val="auto"/>
        </w:rPr>
        <w:t>中对二噁英类物质控制的要求，“</w:t>
      </w:r>
      <w:r>
        <w:rPr>
          <w:color w:val="auto"/>
        </w:rPr>
        <w:t>烟气净化喷入的活性炭或多孔性吸附剂应明确产品采购质量标准，兼顾去除重金属及二噁英</w:t>
      </w:r>
      <w:r>
        <w:rPr>
          <w:rFonts w:hint="eastAsia"/>
          <w:color w:val="auto"/>
        </w:rPr>
        <w:t>类物质</w:t>
      </w:r>
      <w:r>
        <w:rPr>
          <w:color w:val="auto"/>
        </w:rPr>
        <w:t>的功能</w:t>
      </w:r>
      <w:r>
        <w:rPr>
          <w:rFonts w:hint="eastAsia"/>
          <w:color w:val="auto"/>
        </w:rPr>
        <w:t>。其中，活性炭目数应不小于200目，碘吸附值应不小于800</w:t>
      </w:r>
      <w:r>
        <w:rPr>
          <w:color w:val="auto"/>
        </w:rPr>
        <w:t xml:space="preserve"> </w:t>
      </w:r>
      <w:r>
        <w:rPr>
          <w:rFonts w:hint="eastAsia"/>
          <w:color w:val="auto"/>
        </w:rPr>
        <w:t>mg/g，使用量</w:t>
      </w:r>
      <w:r>
        <w:rPr>
          <w:color w:val="auto"/>
        </w:rPr>
        <w:t>按实际烟气计</w:t>
      </w:r>
      <w:r>
        <w:rPr>
          <w:rFonts w:hint="eastAsia"/>
          <w:color w:val="auto"/>
        </w:rPr>
        <w:t>应不小于</w:t>
      </w:r>
      <w:r>
        <w:rPr>
          <w:color w:val="auto"/>
        </w:rPr>
        <w:t>0.05 g/Nm</w:t>
      </w:r>
      <w:r>
        <w:rPr>
          <w:color w:val="auto"/>
          <w:vertAlign w:val="superscript"/>
        </w:rPr>
        <w:t>3</w:t>
      </w:r>
      <w:r>
        <w:rPr>
          <w:color w:val="auto"/>
        </w:rPr>
        <w:t>，并在运行中做好使用量记录</w:t>
      </w:r>
      <w:r>
        <w:rPr>
          <w:rFonts w:hint="eastAsia"/>
          <w:color w:val="auto"/>
        </w:rPr>
        <w:t>”</w:t>
      </w:r>
      <w:r>
        <w:rPr>
          <w:color w:val="auto"/>
        </w:rPr>
        <w:t>。</w:t>
      </w:r>
      <w:r>
        <w:rPr>
          <w:rFonts w:hint="eastAsia"/>
          <w:color w:val="auto"/>
        </w:rPr>
        <w:t>本标准条文5.8.3在满足此项要求的基础上，还要求活性炭喷射装置应与布袋除尘器同时有效运行。</w:t>
      </w:r>
    </w:p>
    <w:p>
      <w:pPr>
        <w:pStyle w:val="32"/>
        <w:ind w:firstLine="480"/>
        <w:rPr>
          <w:color w:val="auto"/>
          <w:kern w:val="0"/>
          <w:szCs w:val="21"/>
        </w:rPr>
      </w:pPr>
      <w:r>
        <w:rPr>
          <w:rFonts w:hint="eastAsia"/>
          <w:color w:val="auto"/>
          <w:kern w:val="0"/>
          <w:szCs w:val="21"/>
        </w:rPr>
        <w:t>（4）针对氮氧化物的去除，</w:t>
      </w:r>
      <w:r>
        <w:rPr>
          <w:color w:val="auto"/>
          <w:kern w:val="0"/>
          <w:szCs w:val="21"/>
        </w:rPr>
        <w:t>应优先考虑通过医疗废物热解气化及可燃气体焚烧过程的燃烧控制，抑制氮氧化物的产生。同时脱硝可考虑采用SCR、SNCR、PNCR及其组合的工艺。</w:t>
      </w:r>
    </w:p>
    <w:p>
      <w:pPr>
        <w:pStyle w:val="32"/>
        <w:ind w:firstLine="480"/>
        <w:rPr>
          <w:color w:val="auto"/>
        </w:rPr>
      </w:pPr>
      <w:r>
        <w:rPr>
          <w:rFonts w:hint="eastAsia"/>
          <w:color w:val="auto"/>
        </w:rPr>
        <w:t>（5）烟气净化后烟气排气筒设计要求，应符合GB</w:t>
      </w:r>
      <w:r>
        <w:rPr>
          <w:color w:val="auto"/>
        </w:rPr>
        <w:t xml:space="preserve"> </w:t>
      </w:r>
      <w:r>
        <w:rPr>
          <w:rFonts w:hint="eastAsia"/>
          <w:color w:val="auto"/>
        </w:rPr>
        <w:t>39707的“5.7.5</w:t>
      </w:r>
      <w:r>
        <w:rPr>
          <w:color w:val="auto"/>
        </w:rPr>
        <w:t xml:space="preserve"> </w:t>
      </w:r>
      <w:r>
        <w:rPr>
          <w:rFonts w:hint="eastAsia"/>
          <w:color w:val="auto"/>
        </w:rPr>
        <w:t>排气筒”相关要求。根据规定，排气筒高度不得低于下表规定的高度，具体高度及设置应根据环境影响评价文件及其审批意见确定，并应按《</w:t>
      </w:r>
      <w:r>
        <w:rPr>
          <w:color w:val="auto"/>
        </w:rPr>
        <w:t>固定污染源排气中颗粒物和气态污染物采样方法</w:t>
      </w:r>
      <w:r>
        <w:rPr>
          <w:rFonts w:hint="eastAsia"/>
          <w:color w:val="auto"/>
        </w:rPr>
        <w:t>》（GB</w:t>
      </w:r>
      <w:r>
        <w:rPr>
          <w:color w:val="auto"/>
        </w:rPr>
        <w:t>/T 16157</w:t>
      </w:r>
      <w:r>
        <w:rPr>
          <w:rFonts w:hint="eastAsia"/>
          <w:color w:val="auto"/>
        </w:rPr>
        <w:t>）设置永久性采样孔。排气筒周围200米半径距离内存在建筑物时，排气筒高度至少应高出这一区域内最高建筑物5米以上。</w:t>
      </w:r>
    </w:p>
    <w:p>
      <w:pPr>
        <w:pStyle w:val="5"/>
        <w:numPr>
          <w:ilvl w:val="0"/>
          <w:numId w:val="11"/>
        </w:numPr>
        <w:spacing w:line="336" w:lineRule="auto"/>
        <w:rPr>
          <w:rFonts w:eastAsia="宋体" w:cs="Times New Roman"/>
          <w:color w:val="auto"/>
          <w:kern w:val="0"/>
          <w:szCs w:val="21"/>
        </w:rPr>
      </w:pPr>
      <w:r>
        <w:rPr>
          <w:rFonts w:hint="eastAsia" w:eastAsia="宋体" w:cs="Times New Roman"/>
          <w:color w:val="auto"/>
          <w:kern w:val="0"/>
          <w:szCs w:val="21"/>
        </w:rPr>
        <w:t>焚烧炉排气筒高度</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011"/>
        <w:gridCol w:w="39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11" w:type="dxa"/>
          </w:tcPr>
          <w:p>
            <w:pPr>
              <w:pStyle w:val="32"/>
              <w:spacing w:line="240" w:lineRule="auto"/>
              <w:ind w:firstLine="0" w:firstLineChars="0"/>
              <w:jc w:val="center"/>
              <w:rPr>
                <w:b/>
                <w:bCs/>
                <w:color w:val="auto"/>
                <w:kern w:val="0"/>
                <w:sz w:val="21"/>
                <w:szCs w:val="21"/>
              </w:rPr>
            </w:pPr>
            <w:r>
              <w:rPr>
                <w:rFonts w:hint="eastAsia"/>
                <w:b/>
                <w:bCs/>
                <w:color w:val="auto"/>
                <w:kern w:val="0"/>
                <w:sz w:val="21"/>
                <w:szCs w:val="21"/>
              </w:rPr>
              <w:t>焚烧处理能力（</w:t>
            </w:r>
            <w:r>
              <w:rPr>
                <w:b/>
                <w:bCs/>
                <w:color w:val="auto"/>
                <w:kern w:val="0"/>
                <w:sz w:val="21"/>
                <w:szCs w:val="21"/>
              </w:rPr>
              <w:t>kg/h</w:t>
            </w:r>
            <w:r>
              <w:rPr>
                <w:rFonts w:hint="eastAsia"/>
                <w:b/>
                <w:bCs/>
                <w:color w:val="auto"/>
                <w:kern w:val="0"/>
                <w:sz w:val="21"/>
                <w:szCs w:val="21"/>
              </w:rPr>
              <w:t>）</w:t>
            </w:r>
          </w:p>
        </w:tc>
        <w:tc>
          <w:tcPr>
            <w:tcW w:w="3927" w:type="dxa"/>
          </w:tcPr>
          <w:p>
            <w:pPr>
              <w:pStyle w:val="32"/>
              <w:spacing w:line="240" w:lineRule="auto"/>
              <w:ind w:firstLine="0" w:firstLineChars="0"/>
              <w:jc w:val="center"/>
              <w:rPr>
                <w:b/>
                <w:bCs/>
                <w:color w:val="auto"/>
                <w:kern w:val="0"/>
                <w:sz w:val="21"/>
                <w:szCs w:val="21"/>
              </w:rPr>
            </w:pPr>
            <w:r>
              <w:rPr>
                <w:rFonts w:hint="eastAsia"/>
                <w:b/>
                <w:bCs/>
                <w:color w:val="auto"/>
                <w:kern w:val="0"/>
                <w:sz w:val="21"/>
                <w:szCs w:val="21"/>
              </w:rPr>
              <w:t>排气筒最低允许高度（</w:t>
            </w:r>
            <w:r>
              <w:rPr>
                <w:b/>
                <w:bCs/>
                <w:color w:val="auto"/>
                <w:kern w:val="0"/>
                <w:sz w:val="21"/>
                <w:szCs w:val="21"/>
              </w:rPr>
              <w:t>m</w:t>
            </w:r>
            <w:r>
              <w:rPr>
                <w:rFonts w:hint="eastAsia"/>
                <w:b/>
                <w:bCs/>
                <w:color w:val="auto"/>
                <w:kern w:val="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11" w:type="dxa"/>
          </w:tcPr>
          <w:p>
            <w:pPr>
              <w:pStyle w:val="32"/>
              <w:spacing w:line="240" w:lineRule="auto"/>
              <w:ind w:firstLine="0" w:firstLineChars="0"/>
              <w:jc w:val="center"/>
              <w:rPr>
                <w:color w:val="auto"/>
                <w:kern w:val="0"/>
                <w:sz w:val="21"/>
                <w:szCs w:val="21"/>
              </w:rPr>
            </w:pPr>
            <w:r>
              <w:rPr>
                <w:rFonts w:hint="eastAsia"/>
                <w:color w:val="auto"/>
                <w:kern w:val="0"/>
                <w:sz w:val="21"/>
                <w:szCs w:val="21"/>
              </w:rPr>
              <w:t>≤</w:t>
            </w:r>
            <w:r>
              <w:rPr>
                <w:color w:val="auto"/>
                <w:kern w:val="0"/>
                <w:sz w:val="21"/>
                <w:szCs w:val="21"/>
              </w:rPr>
              <w:t>300</w:t>
            </w:r>
          </w:p>
        </w:tc>
        <w:tc>
          <w:tcPr>
            <w:tcW w:w="3927" w:type="dxa"/>
          </w:tcPr>
          <w:p>
            <w:pPr>
              <w:pStyle w:val="32"/>
              <w:spacing w:line="240" w:lineRule="auto"/>
              <w:ind w:firstLine="0" w:firstLineChars="0"/>
              <w:jc w:val="center"/>
              <w:rPr>
                <w:color w:val="auto"/>
                <w:kern w:val="0"/>
                <w:sz w:val="21"/>
                <w:szCs w:val="21"/>
              </w:rPr>
            </w:pPr>
            <w:r>
              <w:rPr>
                <w:color w:val="auto"/>
                <w:kern w:val="0"/>
                <w:sz w:val="21"/>
                <w:szCs w:val="21"/>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11" w:type="dxa"/>
          </w:tcPr>
          <w:p>
            <w:pPr>
              <w:pStyle w:val="32"/>
              <w:spacing w:line="240" w:lineRule="auto"/>
              <w:ind w:firstLine="0" w:firstLineChars="0"/>
              <w:jc w:val="center"/>
              <w:rPr>
                <w:color w:val="auto"/>
                <w:kern w:val="0"/>
                <w:sz w:val="21"/>
                <w:szCs w:val="21"/>
              </w:rPr>
            </w:pPr>
            <w:r>
              <w:rPr>
                <w:color w:val="auto"/>
                <w:kern w:val="0"/>
                <w:sz w:val="21"/>
                <w:szCs w:val="21"/>
              </w:rPr>
              <w:t>300~2000</w:t>
            </w:r>
          </w:p>
        </w:tc>
        <w:tc>
          <w:tcPr>
            <w:tcW w:w="3927" w:type="dxa"/>
          </w:tcPr>
          <w:p>
            <w:pPr>
              <w:pStyle w:val="32"/>
              <w:spacing w:line="240" w:lineRule="auto"/>
              <w:ind w:firstLine="0" w:firstLineChars="0"/>
              <w:jc w:val="center"/>
              <w:rPr>
                <w:color w:val="auto"/>
                <w:kern w:val="0"/>
                <w:sz w:val="21"/>
                <w:szCs w:val="21"/>
              </w:rPr>
            </w:pPr>
            <w:r>
              <w:rPr>
                <w:color w:val="auto"/>
                <w:kern w:val="0"/>
                <w:sz w:val="21"/>
                <w:szCs w:val="21"/>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11" w:type="dxa"/>
          </w:tcPr>
          <w:p>
            <w:pPr>
              <w:pStyle w:val="32"/>
              <w:spacing w:line="240" w:lineRule="auto"/>
              <w:ind w:firstLine="0" w:firstLineChars="0"/>
              <w:jc w:val="center"/>
              <w:rPr>
                <w:color w:val="auto"/>
                <w:kern w:val="0"/>
                <w:sz w:val="21"/>
                <w:szCs w:val="21"/>
              </w:rPr>
            </w:pPr>
            <w:r>
              <w:rPr>
                <w:color w:val="auto"/>
                <w:kern w:val="0"/>
                <w:sz w:val="21"/>
                <w:szCs w:val="21"/>
              </w:rPr>
              <w:t>2000~2500</w:t>
            </w:r>
          </w:p>
        </w:tc>
        <w:tc>
          <w:tcPr>
            <w:tcW w:w="3927" w:type="dxa"/>
          </w:tcPr>
          <w:p>
            <w:pPr>
              <w:pStyle w:val="32"/>
              <w:spacing w:line="240" w:lineRule="auto"/>
              <w:ind w:firstLine="0" w:firstLineChars="0"/>
              <w:jc w:val="center"/>
              <w:rPr>
                <w:color w:val="auto"/>
                <w:kern w:val="0"/>
                <w:sz w:val="21"/>
                <w:szCs w:val="21"/>
              </w:rPr>
            </w:pPr>
            <w:r>
              <w:rPr>
                <w:color w:val="auto"/>
                <w:kern w:val="0"/>
                <w:sz w:val="21"/>
                <w:szCs w:val="21"/>
              </w:rPr>
              <w:t>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11" w:type="dxa"/>
          </w:tcPr>
          <w:p>
            <w:pPr>
              <w:pStyle w:val="32"/>
              <w:spacing w:line="240" w:lineRule="auto"/>
              <w:ind w:firstLine="0" w:firstLineChars="0"/>
              <w:jc w:val="center"/>
              <w:rPr>
                <w:color w:val="auto"/>
                <w:kern w:val="0"/>
                <w:sz w:val="21"/>
                <w:szCs w:val="21"/>
              </w:rPr>
            </w:pPr>
            <w:r>
              <w:rPr>
                <w:rFonts w:hint="eastAsia"/>
                <w:color w:val="auto"/>
                <w:kern w:val="0"/>
                <w:sz w:val="21"/>
                <w:szCs w:val="21"/>
              </w:rPr>
              <w:t>≥</w:t>
            </w:r>
            <w:r>
              <w:rPr>
                <w:color w:val="auto"/>
                <w:kern w:val="0"/>
                <w:sz w:val="21"/>
                <w:szCs w:val="21"/>
              </w:rPr>
              <w:t>2500</w:t>
            </w:r>
          </w:p>
        </w:tc>
        <w:tc>
          <w:tcPr>
            <w:tcW w:w="3927" w:type="dxa"/>
          </w:tcPr>
          <w:p>
            <w:pPr>
              <w:pStyle w:val="32"/>
              <w:spacing w:line="240" w:lineRule="auto"/>
              <w:ind w:firstLine="0" w:firstLineChars="0"/>
              <w:jc w:val="center"/>
              <w:rPr>
                <w:color w:val="auto"/>
                <w:kern w:val="0"/>
                <w:sz w:val="21"/>
                <w:szCs w:val="21"/>
              </w:rPr>
            </w:pPr>
            <w:r>
              <w:rPr>
                <w:color w:val="auto"/>
                <w:kern w:val="0"/>
                <w:sz w:val="21"/>
                <w:szCs w:val="21"/>
              </w:rPr>
              <w:t>50</w:t>
            </w:r>
          </w:p>
        </w:tc>
      </w:tr>
    </w:tbl>
    <w:p>
      <w:pPr>
        <w:pStyle w:val="32"/>
        <w:ind w:firstLine="0" w:firstLineChars="0"/>
        <w:rPr>
          <w:color w:val="auto"/>
        </w:rPr>
      </w:pPr>
    </w:p>
    <w:p>
      <w:pPr>
        <w:pStyle w:val="32"/>
        <w:ind w:firstLine="480" w:firstLineChars="0"/>
        <w:rPr>
          <w:color w:val="auto"/>
        </w:rPr>
      </w:pPr>
      <w:r>
        <w:rPr>
          <w:rFonts w:hint="eastAsia"/>
          <w:color w:val="auto"/>
        </w:rPr>
        <w:t>选择适合的烟气净化工艺并保持良好的操控水平有助于焚烧装置连续稳定的以低浓度污染物排放状态运行。参考《</w:t>
      </w:r>
      <w:r>
        <w:rPr>
          <w:color w:val="auto"/>
        </w:rPr>
        <w:t>Best Available Techniques (BAT) Reference Document for Waste Incineration</w:t>
      </w:r>
      <w:r>
        <w:rPr>
          <w:rFonts w:hint="eastAsia"/>
          <w:color w:val="auto"/>
        </w:rPr>
        <w:t>》中医疗废物焚烧项目烟气污染物排放数据（2</w:t>
      </w:r>
      <w:r>
        <w:rPr>
          <w:color w:val="auto"/>
        </w:rPr>
        <w:t>016</w:t>
      </w:r>
      <w:r>
        <w:rPr>
          <w:rFonts w:hint="eastAsia"/>
          <w:color w:val="auto"/>
        </w:rPr>
        <w:t>年对3条焚烧线做了监测），采用医疗废物气化焚烧和“干法+布袋除尘+湿法+SCR”的烟气净化工艺，其出口主要污染物排放浓度如下表所示。其中，NO</w:t>
      </w:r>
      <w:r>
        <w:rPr>
          <w:color w:val="auto"/>
          <w:vertAlign w:val="subscript"/>
        </w:rPr>
        <w:t>x</w:t>
      </w:r>
      <w:r>
        <w:rPr>
          <w:rFonts w:hint="eastAsia"/>
          <w:color w:val="auto"/>
        </w:rPr>
        <w:t>出口日平均最大值浓度不超过1</w:t>
      </w:r>
      <w:r>
        <w:rPr>
          <w:color w:val="auto"/>
        </w:rPr>
        <w:t xml:space="preserve">00 </w:t>
      </w:r>
      <w:r>
        <w:rPr>
          <w:rFonts w:hint="eastAsia"/>
          <w:color w:val="auto"/>
        </w:rPr>
        <w:t>m</w:t>
      </w:r>
      <w:r>
        <w:rPr>
          <w:color w:val="auto"/>
        </w:rPr>
        <w:t>g/Nm</w:t>
      </w:r>
      <w:r>
        <w:rPr>
          <w:color w:val="auto"/>
          <w:vertAlign w:val="superscript"/>
        </w:rPr>
        <w:t>3</w:t>
      </w:r>
      <w:r>
        <w:rPr>
          <w:rFonts w:hint="eastAsia"/>
          <w:color w:val="auto"/>
        </w:rPr>
        <w:t>；CO年平均排放浓度仅为1</w:t>
      </w:r>
      <w:r>
        <w:rPr>
          <w:color w:val="auto"/>
        </w:rPr>
        <w:t xml:space="preserve">0.5 </w:t>
      </w:r>
      <w:r>
        <w:rPr>
          <w:rFonts w:hint="eastAsia"/>
          <w:color w:val="auto"/>
        </w:rPr>
        <w:t>m</w:t>
      </w:r>
      <w:r>
        <w:rPr>
          <w:color w:val="auto"/>
        </w:rPr>
        <w:t>g/Nm</w:t>
      </w:r>
      <w:r>
        <w:rPr>
          <w:color w:val="auto"/>
          <w:vertAlign w:val="superscript"/>
        </w:rPr>
        <w:t>3</w:t>
      </w:r>
      <w:r>
        <w:rPr>
          <w:rFonts w:hint="eastAsia"/>
          <w:color w:val="auto"/>
        </w:rPr>
        <w:t>，日平均最大值浓度为4</w:t>
      </w:r>
      <w:r>
        <w:rPr>
          <w:color w:val="auto"/>
        </w:rPr>
        <w:t xml:space="preserve">6.5 </w:t>
      </w:r>
      <w:r>
        <w:rPr>
          <w:rFonts w:hint="eastAsia"/>
          <w:color w:val="auto"/>
        </w:rPr>
        <w:t>m</w:t>
      </w:r>
      <w:r>
        <w:rPr>
          <w:color w:val="auto"/>
        </w:rPr>
        <w:t>g/Nm</w:t>
      </w:r>
      <w:r>
        <w:rPr>
          <w:color w:val="auto"/>
          <w:vertAlign w:val="superscript"/>
        </w:rPr>
        <w:t>3</w:t>
      </w:r>
      <w:r>
        <w:rPr>
          <w:rFonts w:hint="eastAsia"/>
          <w:color w:val="auto"/>
        </w:rPr>
        <w:t>；而出口颗粒物日平均排放浓度则连续稳定保持在0</w:t>
      </w:r>
      <w:r>
        <w:rPr>
          <w:color w:val="auto"/>
        </w:rPr>
        <w:t>.14</w:t>
      </w:r>
      <w:r>
        <w:rPr>
          <w:rFonts w:hint="eastAsia"/>
          <w:color w:val="auto"/>
        </w:rPr>
        <w:t xml:space="preserve"> m</w:t>
      </w:r>
      <w:r>
        <w:rPr>
          <w:color w:val="auto"/>
        </w:rPr>
        <w:t>g/Nm</w:t>
      </w:r>
      <w:r>
        <w:rPr>
          <w:color w:val="auto"/>
          <w:vertAlign w:val="superscript"/>
        </w:rPr>
        <w:t>3</w:t>
      </w:r>
      <w:r>
        <w:rPr>
          <w:rFonts w:hint="eastAsia"/>
          <w:color w:val="auto"/>
        </w:rPr>
        <w:t>的水平，年平均值更是低至0</w:t>
      </w:r>
      <w:r>
        <w:rPr>
          <w:color w:val="auto"/>
        </w:rPr>
        <w:t>.09</w:t>
      </w:r>
      <w:r>
        <w:rPr>
          <w:rFonts w:hint="eastAsia"/>
          <w:color w:val="auto"/>
        </w:rPr>
        <w:t xml:space="preserve"> m</w:t>
      </w:r>
      <w:r>
        <w:rPr>
          <w:color w:val="auto"/>
        </w:rPr>
        <w:t>g/Nm</w:t>
      </w:r>
      <w:r>
        <w:rPr>
          <w:color w:val="auto"/>
          <w:vertAlign w:val="superscript"/>
        </w:rPr>
        <w:t>3</w:t>
      </w:r>
      <w:r>
        <w:rPr>
          <w:rFonts w:hint="eastAsia"/>
          <w:color w:val="auto"/>
        </w:rPr>
        <w:t>。针对重金属和二噁英类物质的净化及排放，采用活性炭喷射+布袋除尘器的组合亦能取得较好的效果。</w:t>
      </w:r>
    </w:p>
    <w:p>
      <w:pPr>
        <w:pStyle w:val="5"/>
        <w:numPr>
          <w:ilvl w:val="0"/>
          <w:numId w:val="11"/>
        </w:numPr>
        <w:spacing w:line="336" w:lineRule="auto"/>
        <w:rPr>
          <w:rFonts w:eastAsia="宋体" w:cs="Times New Roman"/>
          <w:color w:val="auto"/>
          <w:kern w:val="0"/>
          <w:szCs w:val="21"/>
        </w:rPr>
      </w:pPr>
      <w:r>
        <w:rPr>
          <w:rFonts w:hint="eastAsia" w:eastAsia="宋体" w:cs="Times New Roman"/>
          <w:color w:val="auto"/>
          <w:kern w:val="0"/>
          <w:szCs w:val="21"/>
        </w:rPr>
        <w:t>B</w:t>
      </w:r>
      <w:r>
        <w:rPr>
          <w:rFonts w:eastAsia="宋体" w:cs="Times New Roman"/>
          <w:color w:val="auto"/>
          <w:kern w:val="0"/>
          <w:szCs w:val="21"/>
        </w:rPr>
        <w:t>AT</w:t>
      </w:r>
      <w:r>
        <w:rPr>
          <w:rFonts w:hint="eastAsia" w:eastAsia="宋体" w:cs="Times New Roman"/>
          <w:color w:val="auto"/>
          <w:kern w:val="0"/>
          <w:szCs w:val="21"/>
        </w:rPr>
        <w:t>中医疗废物焚烧处置项目烟气污染物排放数据-</w:t>
      </w:r>
      <w:r>
        <w:rPr>
          <w:rFonts w:eastAsia="宋体" w:cs="Times New Roman"/>
          <w:color w:val="auto"/>
          <w:kern w:val="0"/>
          <w:szCs w:val="21"/>
        </w:rPr>
        <w:t>NOx/CO/</w:t>
      </w:r>
      <w:r>
        <w:rPr>
          <w:rFonts w:hint="eastAsia" w:eastAsia="宋体" w:cs="Times New Roman"/>
          <w:color w:val="auto"/>
          <w:kern w:val="0"/>
          <w:szCs w:val="21"/>
        </w:rPr>
        <w:t>颗粒物</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0"/>
        <w:gridCol w:w="1184"/>
        <w:gridCol w:w="762"/>
        <w:gridCol w:w="762"/>
        <w:gridCol w:w="738"/>
        <w:gridCol w:w="642"/>
        <w:gridCol w:w="642"/>
        <w:gridCol w:w="738"/>
        <w:gridCol w:w="616"/>
        <w:gridCol w:w="616"/>
        <w:gridCol w:w="7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90" w:type="dxa"/>
            <w:vMerge w:val="restart"/>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Ref.line</w:t>
            </w:r>
          </w:p>
        </w:tc>
        <w:tc>
          <w:tcPr>
            <w:tcW w:w="1184" w:type="dxa"/>
            <w:vMerge w:val="restart"/>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Techniques</w:t>
            </w:r>
          </w:p>
        </w:tc>
        <w:tc>
          <w:tcPr>
            <w:tcW w:w="2262" w:type="dxa"/>
            <w:gridSpan w:val="3"/>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NOx (mg/Nm</w:t>
            </w:r>
            <w:r>
              <w:rPr>
                <w:color w:val="auto"/>
                <w:kern w:val="0"/>
                <w:sz w:val="18"/>
                <w:szCs w:val="18"/>
                <w:vertAlign w:val="superscript"/>
              </w:rPr>
              <w:t>3</w:t>
            </w:r>
            <w:r>
              <w:rPr>
                <w:color w:val="auto"/>
                <w:kern w:val="0"/>
                <w:sz w:val="18"/>
                <w:szCs w:val="18"/>
              </w:rPr>
              <w:t>)</w:t>
            </w:r>
          </w:p>
        </w:tc>
        <w:tc>
          <w:tcPr>
            <w:tcW w:w="2022" w:type="dxa"/>
            <w:gridSpan w:val="3"/>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CO (mg/Nm</w:t>
            </w:r>
            <w:r>
              <w:rPr>
                <w:color w:val="auto"/>
                <w:kern w:val="0"/>
                <w:sz w:val="18"/>
                <w:szCs w:val="18"/>
                <w:vertAlign w:val="superscript"/>
              </w:rPr>
              <w:t>3</w:t>
            </w:r>
            <w:r>
              <w:rPr>
                <w:color w:val="auto"/>
                <w:kern w:val="0"/>
                <w:sz w:val="18"/>
                <w:szCs w:val="18"/>
              </w:rPr>
              <w:t>)</w:t>
            </w:r>
          </w:p>
        </w:tc>
        <w:tc>
          <w:tcPr>
            <w:tcW w:w="1938" w:type="dxa"/>
            <w:gridSpan w:val="3"/>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Dust (mg/Nm</w:t>
            </w:r>
            <w:r>
              <w:rPr>
                <w:color w:val="auto"/>
                <w:kern w:val="0"/>
                <w:sz w:val="18"/>
                <w:szCs w:val="18"/>
                <w:vertAlign w:val="superscript"/>
              </w:rPr>
              <w:t>3</w:t>
            </w:r>
            <w:r>
              <w:rPr>
                <w:color w:val="auto"/>
                <w:kern w:val="0"/>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90" w:type="dxa"/>
            <w:vMerge w:val="continue"/>
            <w:vAlign w:val="center"/>
          </w:tcPr>
          <w:p>
            <w:pPr>
              <w:pStyle w:val="32"/>
              <w:adjustRightInd w:val="0"/>
              <w:snapToGrid w:val="0"/>
              <w:spacing w:line="300" w:lineRule="auto"/>
              <w:ind w:firstLine="0" w:firstLineChars="0"/>
              <w:jc w:val="center"/>
              <w:rPr>
                <w:color w:val="auto"/>
                <w:kern w:val="0"/>
                <w:sz w:val="18"/>
                <w:szCs w:val="18"/>
              </w:rPr>
            </w:pPr>
          </w:p>
        </w:tc>
        <w:tc>
          <w:tcPr>
            <w:tcW w:w="1184" w:type="dxa"/>
            <w:vMerge w:val="continue"/>
            <w:vAlign w:val="center"/>
          </w:tcPr>
          <w:p>
            <w:pPr>
              <w:pStyle w:val="32"/>
              <w:adjustRightInd w:val="0"/>
              <w:snapToGrid w:val="0"/>
              <w:spacing w:line="300" w:lineRule="auto"/>
              <w:ind w:firstLine="0" w:firstLineChars="0"/>
              <w:jc w:val="center"/>
              <w:rPr>
                <w:color w:val="auto"/>
                <w:kern w:val="0"/>
                <w:sz w:val="18"/>
                <w:szCs w:val="18"/>
              </w:rPr>
            </w:pPr>
          </w:p>
        </w:tc>
        <w:tc>
          <w:tcPr>
            <w:tcW w:w="762"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Max. Daily Base</w:t>
            </w:r>
          </w:p>
        </w:tc>
        <w:tc>
          <w:tcPr>
            <w:tcW w:w="762"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Max.</w:t>
            </w:r>
          </w:p>
          <w:p>
            <w:pPr>
              <w:pStyle w:val="32"/>
              <w:adjustRightInd w:val="0"/>
              <w:snapToGrid w:val="0"/>
              <w:spacing w:line="300" w:lineRule="auto"/>
              <w:ind w:firstLine="0" w:firstLineChars="0"/>
              <w:jc w:val="center"/>
              <w:rPr>
                <w:color w:val="auto"/>
                <w:kern w:val="0"/>
                <w:sz w:val="18"/>
                <w:szCs w:val="18"/>
              </w:rPr>
            </w:pPr>
            <w:r>
              <w:rPr>
                <w:color w:val="auto"/>
                <w:kern w:val="0"/>
                <w:sz w:val="18"/>
                <w:szCs w:val="18"/>
              </w:rPr>
              <w:t>Daily Fine</w:t>
            </w:r>
          </w:p>
        </w:tc>
        <w:tc>
          <w:tcPr>
            <w:tcW w:w="738"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Yearly</w:t>
            </w:r>
          </w:p>
        </w:tc>
        <w:tc>
          <w:tcPr>
            <w:tcW w:w="642"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Max.</w:t>
            </w:r>
          </w:p>
          <w:p>
            <w:pPr>
              <w:pStyle w:val="32"/>
              <w:adjustRightInd w:val="0"/>
              <w:snapToGrid w:val="0"/>
              <w:spacing w:line="300" w:lineRule="auto"/>
              <w:ind w:firstLine="0" w:firstLineChars="0"/>
              <w:jc w:val="center"/>
              <w:rPr>
                <w:color w:val="auto"/>
                <w:kern w:val="0"/>
                <w:sz w:val="18"/>
                <w:szCs w:val="18"/>
              </w:rPr>
            </w:pPr>
            <w:r>
              <w:rPr>
                <w:color w:val="auto"/>
                <w:kern w:val="0"/>
                <w:sz w:val="18"/>
                <w:szCs w:val="18"/>
              </w:rPr>
              <w:t>Daily Base</w:t>
            </w:r>
          </w:p>
        </w:tc>
        <w:tc>
          <w:tcPr>
            <w:tcW w:w="642"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Max.</w:t>
            </w:r>
          </w:p>
          <w:p>
            <w:pPr>
              <w:pStyle w:val="32"/>
              <w:adjustRightInd w:val="0"/>
              <w:snapToGrid w:val="0"/>
              <w:spacing w:line="300" w:lineRule="auto"/>
              <w:ind w:firstLine="0" w:firstLineChars="0"/>
              <w:jc w:val="center"/>
              <w:rPr>
                <w:color w:val="auto"/>
                <w:kern w:val="0"/>
                <w:sz w:val="18"/>
                <w:szCs w:val="18"/>
              </w:rPr>
            </w:pPr>
            <w:r>
              <w:rPr>
                <w:color w:val="auto"/>
                <w:kern w:val="0"/>
                <w:sz w:val="18"/>
                <w:szCs w:val="18"/>
              </w:rPr>
              <w:t>Daily Fine</w:t>
            </w:r>
          </w:p>
        </w:tc>
        <w:tc>
          <w:tcPr>
            <w:tcW w:w="738"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Yearly</w:t>
            </w:r>
          </w:p>
        </w:tc>
        <w:tc>
          <w:tcPr>
            <w:tcW w:w="616"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Max.</w:t>
            </w:r>
          </w:p>
          <w:p>
            <w:pPr>
              <w:pStyle w:val="32"/>
              <w:adjustRightInd w:val="0"/>
              <w:snapToGrid w:val="0"/>
              <w:spacing w:line="300" w:lineRule="auto"/>
              <w:ind w:firstLine="0" w:firstLineChars="0"/>
              <w:jc w:val="center"/>
              <w:rPr>
                <w:color w:val="auto"/>
                <w:kern w:val="0"/>
                <w:sz w:val="18"/>
                <w:szCs w:val="18"/>
              </w:rPr>
            </w:pPr>
            <w:r>
              <w:rPr>
                <w:color w:val="auto"/>
                <w:kern w:val="0"/>
                <w:sz w:val="18"/>
                <w:szCs w:val="18"/>
              </w:rPr>
              <w:t>Daily Base</w:t>
            </w:r>
          </w:p>
        </w:tc>
        <w:tc>
          <w:tcPr>
            <w:tcW w:w="616"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Max.</w:t>
            </w:r>
          </w:p>
          <w:p>
            <w:pPr>
              <w:pStyle w:val="32"/>
              <w:adjustRightInd w:val="0"/>
              <w:snapToGrid w:val="0"/>
              <w:spacing w:line="300" w:lineRule="auto"/>
              <w:ind w:firstLine="0" w:firstLineChars="0"/>
              <w:jc w:val="center"/>
              <w:rPr>
                <w:color w:val="auto"/>
                <w:kern w:val="0"/>
                <w:sz w:val="18"/>
                <w:szCs w:val="18"/>
              </w:rPr>
            </w:pPr>
            <w:r>
              <w:rPr>
                <w:color w:val="auto"/>
                <w:kern w:val="0"/>
                <w:sz w:val="18"/>
                <w:szCs w:val="18"/>
              </w:rPr>
              <w:t>Daily Fine</w:t>
            </w:r>
          </w:p>
        </w:tc>
        <w:tc>
          <w:tcPr>
            <w:tcW w:w="706"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Yearly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90"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NL04</w:t>
            </w:r>
          </w:p>
        </w:tc>
        <w:tc>
          <w:tcPr>
            <w:tcW w:w="1184"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BF, WS, DSI, SCR</w:t>
            </w:r>
          </w:p>
        </w:tc>
        <w:tc>
          <w:tcPr>
            <w:tcW w:w="762"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91.7</w:t>
            </w:r>
          </w:p>
        </w:tc>
        <w:tc>
          <w:tcPr>
            <w:tcW w:w="762"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91.7</w:t>
            </w:r>
          </w:p>
        </w:tc>
        <w:tc>
          <w:tcPr>
            <w:tcW w:w="738"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63.9</w:t>
            </w:r>
          </w:p>
        </w:tc>
        <w:tc>
          <w:tcPr>
            <w:tcW w:w="642"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46.5</w:t>
            </w:r>
          </w:p>
        </w:tc>
        <w:tc>
          <w:tcPr>
            <w:tcW w:w="642"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23.0</w:t>
            </w:r>
          </w:p>
        </w:tc>
        <w:tc>
          <w:tcPr>
            <w:tcW w:w="738"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10.5</w:t>
            </w:r>
          </w:p>
        </w:tc>
        <w:tc>
          <w:tcPr>
            <w:tcW w:w="616"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0.14</w:t>
            </w:r>
          </w:p>
        </w:tc>
        <w:tc>
          <w:tcPr>
            <w:tcW w:w="616"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0.14</w:t>
            </w:r>
          </w:p>
        </w:tc>
        <w:tc>
          <w:tcPr>
            <w:tcW w:w="706"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0.09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96" w:type="dxa"/>
            <w:gridSpan w:val="11"/>
            <w:vAlign w:val="center"/>
          </w:tcPr>
          <w:p>
            <w:pPr>
              <w:pStyle w:val="32"/>
              <w:adjustRightInd w:val="0"/>
              <w:snapToGrid w:val="0"/>
              <w:spacing w:line="300" w:lineRule="auto"/>
              <w:ind w:firstLine="0" w:firstLineChars="0"/>
              <w:rPr>
                <w:color w:val="auto"/>
                <w:kern w:val="0"/>
                <w:sz w:val="18"/>
                <w:szCs w:val="18"/>
              </w:rPr>
            </w:pPr>
            <w:r>
              <w:rPr>
                <w:color w:val="auto"/>
                <w:kern w:val="0"/>
                <w:sz w:val="18"/>
                <w:szCs w:val="18"/>
              </w:rPr>
              <w:t>NB.</w:t>
            </w:r>
          </w:p>
          <w:p>
            <w:pPr>
              <w:pStyle w:val="32"/>
              <w:adjustRightInd w:val="0"/>
              <w:snapToGrid w:val="0"/>
              <w:spacing w:line="300" w:lineRule="auto"/>
              <w:ind w:firstLine="0" w:firstLineChars="0"/>
              <w:rPr>
                <w:color w:val="auto"/>
                <w:kern w:val="0"/>
                <w:sz w:val="18"/>
                <w:szCs w:val="18"/>
              </w:rPr>
            </w:pPr>
            <w:r>
              <w:rPr>
                <w:color w:val="auto"/>
                <w:kern w:val="0"/>
                <w:sz w:val="18"/>
                <w:szCs w:val="18"/>
              </w:rPr>
              <w:t>NL04 is a gasification plant (plant age = old and plant size = small).</w:t>
            </w:r>
          </w:p>
          <w:p>
            <w:pPr>
              <w:pStyle w:val="32"/>
              <w:adjustRightInd w:val="0"/>
              <w:snapToGrid w:val="0"/>
              <w:spacing w:line="300" w:lineRule="auto"/>
              <w:ind w:firstLine="0" w:firstLineChars="0"/>
              <w:rPr>
                <w:color w:val="auto"/>
                <w:kern w:val="0"/>
                <w:sz w:val="18"/>
                <w:szCs w:val="18"/>
              </w:rPr>
            </w:pPr>
            <w:r>
              <w:rPr>
                <w:color w:val="auto"/>
                <w:kern w:val="0"/>
                <w:sz w:val="18"/>
                <w:szCs w:val="18"/>
              </w:rPr>
              <w:t>Techniques installed: BF = bag filter, WS = wet scrubber; DSI = dry sorbent injection; SCR = selective catalytic reduction.</w:t>
            </w:r>
          </w:p>
          <w:p>
            <w:pPr>
              <w:pStyle w:val="32"/>
              <w:adjustRightInd w:val="0"/>
              <w:snapToGrid w:val="0"/>
              <w:spacing w:line="300" w:lineRule="auto"/>
              <w:ind w:firstLine="0" w:firstLineChars="0"/>
              <w:rPr>
                <w:color w:val="auto"/>
                <w:kern w:val="0"/>
                <w:sz w:val="18"/>
                <w:szCs w:val="18"/>
              </w:rPr>
            </w:pPr>
            <w:r>
              <w:rPr>
                <w:color w:val="auto"/>
                <w:kern w:val="0"/>
                <w:sz w:val="18"/>
                <w:szCs w:val="18"/>
              </w:rPr>
              <w:t>Source: [</w:t>
            </w:r>
            <w:r>
              <w:rPr>
                <w:color w:val="auto"/>
                <w:kern w:val="0"/>
                <w:sz w:val="18"/>
                <w:szCs w:val="18"/>
                <w:u w:val="single"/>
              </w:rPr>
              <w:t>81, TWG 2016</w:t>
            </w:r>
            <w:r>
              <w:rPr>
                <w:color w:val="auto"/>
                <w:kern w:val="0"/>
                <w:sz w:val="18"/>
                <w:szCs w:val="18"/>
              </w:rPr>
              <w:t>]</w:t>
            </w:r>
          </w:p>
        </w:tc>
      </w:tr>
    </w:tbl>
    <w:p>
      <w:pPr>
        <w:pStyle w:val="5"/>
        <w:numPr>
          <w:ilvl w:val="0"/>
          <w:numId w:val="11"/>
        </w:numPr>
        <w:spacing w:line="336" w:lineRule="auto"/>
        <w:rPr>
          <w:rFonts w:eastAsia="宋体" w:cs="Times New Roman"/>
          <w:color w:val="auto"/>
          <w:kern w:val="0"/>
          <w:szCs w:val="21"/>
        </w:rPr>
      </w:pPr>
      <w:r>
        <w:rPr>
          <w:rFonts w:hint="eastAsia" w:eastAsia="宋体" w:cs="Times New Roman"/>
          <w:color w:val="auto"/>
          <w:kern w:val="0"/>
          <w:szCs w:val="21"/>
        </w:rPr>
        <w:t>B</w:t>
      </w:r>
      <w:r>
        <w:rPr>
          <w:rFonts w:eastAsia="宋体" w:cs="Times New Roman"/>
          <w:color w:val="auto"/>
          <w:kern w:val="0"/>
          <w:szCs w:val="21"/>
        </w:rPr>
        <w:t>AT</w:t>
      </w:r>
      <w:r>
        <w:rPr>
          <w:rFonts w:hint="eastAsia" w:eastAsia="宋体" w:cs="Times New Roman"/>
          <w:color w:val="auto"/>
          <w:kern w:val="0"/>
          <w:szCs w:val="21"/>
        </w:rPr>
        <w:t>中医疗废物焚烧处置项目烟气污染物排放数据-重金属</w:t>
      </w:r>
    </w:p>
    <w:tbl>
      <w:tblPr>
        <w:tblStyle w:val="17"/>
        <w:tblW w:w="83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4"/>
        <w:gridCol w:w="1184"/>
        <w:gridCol w:w="1225"/>
        <w:gridCol w:w="840"/>
        <w:gridCol w:w="808"/>
        <w:gridCol w:w="849"/>
        <w:gridCol w:w="850"/>
        <w:gridCol w:w="849"/>
        <w:gridCol w:w="8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4" w:type="dxa"/>
            <w:vMerge w:val="restart"/>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Ref.line</w:t>
            </w:r>
          </w:p>
        </w:tc>
        <w:tc>
          <w:tcPr>
            <w:tcW w:w="1184" w:type="dxa"/>
            <w:vMerge w:val="restart"/>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Techniques</w:t>
            </w:r>
          </w:p>
        </w:tc>
        <w:tc>
          <w:tcPr>
            <w:tcW w:w="1225" w:type="dxa"/>
            <w:vMerge w:val="restart"/>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Reagents used</w:t>
            </w:r>
          </w:p>
        </w:tc>
        <w:tc>
          <w:tcPr>
            <w:tcW w:w="1648" w:type="dxa"/>
            <w:gridSpan w:val="2"/>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Hg (mg/Nm</w:t>
            </w:r>
            <w:r>
              <w:rPr>
                <w:color w:val="auto"/>
                <w:kern w:val="0"/>
                <w:sz w:val="18"/>
                <w:szCs w:val="18"/>
                <w:vertAlign w:val="superscript"/>
              </w:rPr>
              <w:t>3</w:t>
            </w:r>
            <w:r>
              <w:rPr>
                <w:color w:val="auto"/>
                <w:kern w:val="0"/>
                <w:sz w:val="18"/>
                <w:szCs w:val="18"/>
              </w:rPr>
              <w:t>)</w:t>
            </w:r>
          </w:p>
        </w:tc>
        <w:tc>
          <w:tcPr>
            <w:tcW w:w="1699" w:type="dxa"/>
            <w:gridSpan w:val="2"/>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Cd+Tl (mg/Nm</w:t>
            </w:r>
            <w:r>
              <w:rPr>
                <w:color w:val="auto"/>
                <w:kern w:val="0"/>
                <w:sz w:val="18"/>
                <w:szCs w:val="18"/>
                <w:vertAlign w:val="superscript"/>
              </w:rPr>
              <w:t>3</w:t>
            </w:r>
            <w:r>
              <w:rPr>
                <w:color w:val="auto"/>
                <w:kern w:val="0"/>
                <w:sz w:val="18"/>
                <w:szCs w:val="18"/>
              </w:rPr>
              <w:t>)</w:t>
            </w:r>
          </w:p>
        </w:tc>
        <w:tc>
          <w:tcPr>
            <w:tcW w:w="1678" w:type="dxa"/>
            <w:gridSpan w:val="2"/>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Sum metals (mg/Nm</w:t>
            </w:r>
            <w:r>
              <w:rPr>
                <w:color w:val="auto"/>
                <w:kern w:val="0"/>
                <w:sz w:val="18"/>
                <w:szCs w:val="18"/>
                <w:vertAlign w:val="superscript"/>
              </w:rPr>
              <w:t>3</w:t>
            </w:r>
            <w:r>
              <w:rPr>
                <w:color w:val="auto"/>
                <w:kern w:val="0"/>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4" w:type="dxa"/>
            <w:vMerge w:val="continue"/>
            <w:vAlign w:val="center"/>
          </w:tcPr>
          <w:p>
            <w:pPr>
              <w:pStyle w:val="32"/>
              <w:adjustRightInd w:val="0"/>
              <w:snapToGrid w:val="0"/>
              <w:spacing w:line="300" w:lineRule="auto"/>
              <w:ind w:firstLine="0" w:firstLineChars="0"/>
              <w:jc w:val="center"/>
              <w:rPr>
                <w:color w:val="auto"/>
                <w:kern w:val="0"/>
                <w:sz w:val="18"/>
                <w:szCs w:val="18"/>
              </w:rPr>
            </w:pPr>
          </w:p>
        </w:tc>
        <w:tc>
          <w:tcPr>
            <w:tcW w:w="1184" w:type="dxa"/>
            <w:vMerge w:val="continue"/>
            <w:vAlign w:val="center"/>
          </w:tcPr>
          <w:p>
            <w:pPr>
              <w:pStyle w:val="32"/>
              <w:adjustRightInd w:val="0"/>
              <w:snapToGrid w:val="0"/>
              <w:spacing w:line="300" w:lineRule="auto"/>
              <w:ind w:firstLine="0" w:firstLineChars="0"/>
              <w:jc w:val="center"/>
              <w:rPr>
                <w:color w:val="auto"/>
                <w:kern w:val="0"/>
                <w:sz w:val="18"/>
                <w:szCs w:val="18"/>
              </w:rPr>
            </w:pPr>
          </w:p>
        </w:tc>
        <w:tc>
          <w:tcPr>
            <w:tcW w:w="1225" w:type="dxa"/>
            <w:vMerge w:val="continue"/>
            <w:vAlign w:val="center"/>
          </w:tcPr>
          <w:p>
            <w:pPr>
              <w:pStyle w:val="32"/>
              <w:adjustRightInd w:val="0"/>
              <w:snapToGrid w:val="0"/>
              <w:spacing w:line="300" w:lineRule="auto"/>
              <w:ind w:firstLine="0" w:firstLineChars="0"/>
              <w:jc w:val="center"/>
              <w:rPr>
                <w:color w:val="auto"/>
                <w:kern w:val="0"/>
                <w:sz w:val="18"/>
                <w:szCs w:val="18"/>
              </w:rPr>
            </w:pPr>
          </w:p>
        </w:tc>
        <w:tc>
          <w:tcPr>
            <w:tcW w:w="840" w:type="dxa"/>
            <w:vAlign w:val="center"/>
          </w:tcPr>
          <w:p>
            <w:pPr>
              <w:pStyle w:val="32"/>
              <w:adjustRightInd w:val="0"/>
              <w:snapToGrid w:val="0"/>
              <w:spacing w:line="300" w:lineRule="auto"/>
              <w:ind w:firstLine="0" w:firstLineChars="0"/>
              <w:jc w:val="center"/>
              <w:rPr>
                <w:color w:val="auto"/>
                <w:kern w:val="0"/>
                <w:sz w:val="18"/>
                <w:szCs w:val="18"/>
              </w:rPr>
            </w:pPr>
            <w:r>
              <w:rPr>
                <w:rFonts w:hint="eastAsia"/>
                <w:color w:val="auto"/>
                <w:kern w:val="0"/>
                <w:sz w:val="18"/>
                <w:szCs w:val="18"/>
              </w:rPr>
              <w:t>M</w:t>
            </w:r>
            <w:r>
              <w:rPr>
                <w:color w:val="auto"/>
                <w:kern w:val="0"/>
                <w:sz w:val="18"/>
                <w:szCs w:val="18"/>
              </w:rPr>
              <w:t>ax.</w:t>
            </w:r>
          </w:p>
        </w:tc>
        <w:tc>
          <w:tcPr>
            <w:tcW w:w="808"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Avg.</w:t>
            </w:r>
          </w:p>
        </w:tc>
        <w:tc>
          <w:tcPr>
            <w:tcW w:w="849" w:type="dxa"/>
            <w:vAlign w:val="center"/>
          </w:tcPr>
          <w:p>
            <w:pPr>
              <w:pStyle w:val="32"/>
              <w:adjustRightInd w:val="0"/>
              <w:snapToGrid w:val="0"/>
              <w:spacing w:line="300" w:lineRule="auto"/>
              <w:ind w:firstLine="0" w:firstLineChars="0"/>
              <w:jc w:val="center"/>
              <w:rPr>
                <w:color w:val="auto"/>
                <w:kern w:val="0"/>
                <w:sz w:val="18"/>
                <w:szCs w:val="18"/>
              </w:rPr>
            </w:pPr>
            <w:r>
              <w:rPr>
                <w:rFonts w:hint="eastAsia"/>
                <w:color w:val="auto"/>
                <w:kern w:val="0"/>
                <w:sz w:val="18"/>
                <w:szCs w:val="18"/>
              </w:rPr>
              <w:t>M</w:t>
            </w:r>
            <w:r>
              <w:rPr>
                <w:color w:val="auto"/>
                <w:kern w:val="0"/>
                <w:sz w:val="18"/>
                <w:szCs w:val="18"/>
              </w:rPr>
              <w:t>ax.</w:t>
            </w:r>
          </w:p>
        </w:tc>
        <w:tc>
          <w:tcPr>
            <w:tcW w:w="850"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Avg.</w:t>
            </w:r>
          </w:p>
        </w:tc>
        <w:tc>
          <w:tcPr>
            <w:tcW w:w="849" w:type="dxa"/>
            <w:vAlign w:val="center"/>
          </w:tcPr>
          <w:p>
            <w:pPr>
              <w:pStyle w:val="32"/>
              <w:adjustRightInd w:val="0"/>
              <w:snapToGrid w:val="0"/>
              <w:spacing w:line="300" w:lineRule="auto"/>
              <w:ind w:firstLine="0" w:firstLineChars="0"/>
              <w:jc w:val="center"/>
              <w:rPr>
                <w:color w:val="auto"/>
                <w:kern w:val="0"/>
                <w:sz w:val="18"/>
                <w:szCs w:val="18"/>
              </w:rPr>
            </w:pPr>
            <w:r>
              <w:rPr>
                <w:rFonts w:hint="eastAsia"/>
                <w:color w:val="auto"/>
                <w:kern w:val="0"/>
                <w:sz w:val="18"/>
                <w:szCs w:val="18"/>
              </w:rPr>
              <w:t>M</w:t>
            </w:r>
            <w:r>
              <w:rPr>
                <w:color w:val="auto"/>
                <w:kern w:val="0"/>
                <w:sz w:val="18"/>
                <w:szCs w:val="18"/>
              </w:rPr>
              <w:t>ax.</w:t>
            </w:r>
          </w:p>
        </w:tc>
        <w:tc>
          <w:tcPr>
            <w:tcW w:w="829"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Avg.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4"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UK14.1</w:t>
            </w:r>
          </w:p>
        </w:tc>
        <w:tc>
          <w:tcPr>
            <w:tcW w:w="1184"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BF, DSI</w:t>
            </w:r>
          </w:p>
        </w:tc>
        <w:tc>
          <w:tcPr>
            <w:tcW w:w="1225"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Hyd. lime, Active carbon</w:t>
            </w:r>
          </w:p>
        </w:tc>
        <w:tc>
          <w:tcPr>
            <w:tcW w:w="840"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0.02</w:t>
            </w:r>
          </w:p>
        </w:tc>
        <w:tc>
          <w:tcPr>
            <w:tcW w:w="808"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0.0003</w:t>
            </w:r>
          </w:p>
        </w:tc>
        <w:tc>
          <w:tcPr>
            <w:tcW w:w="849"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0.004</w:t>
            </w:r>
          </w:p>
        </w:tc>
        <w:tc>
          <w:tcPr>
            <w:tcW w:w="850"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0.001</w:t>
            </w:r>
          </w:p>
          <w:p>
            <w:pPr>
              <w:pStyle w:val="32"/>
              <w:adjustRightInd w:val="0"/>
              <w:snapToGrid w:val="0"/>
              <w:spacing w:line="300" w:lineRule="auto"/>
              <w:ind w:firstLine="0" w:firstLineChars="0"/>
              <w:jc w:val="center"/>
              <w:rPr>
                <w:color w:val="auto"/>
                <w:kern w:val="0"/>
                <w:sz w:val="18"/>
                <w:szCs w:val="18"/>
              </w:rPr>
            </w:pPr>
            <w:r>
              <w:rPr>
                <w:color w:val="auto"/>
                <w:kern w:val="0"/>
                <w:sz w:val="18"/>
                <w:szCs w:val="18"/>
              </w:rPr>
              <w:t>0.2</w:t>
            </w:r>
          </w:p>
        </w:tc>
        <w:tc>
          <w:tcPr>
            <w:tcW w:w="849"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0.202</w:t>
            </w:r>
          </w:p>
        </w:tc>
        <w:tc>
          <w:tcPr>
            <w:tcW w:w="829"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0.160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4"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UK14.2</w:t>
            </w:r>
          </w:p>
        </w:tc>
        <w:tc>
          <w:tcPr>
            <w:tcW w:w="1184"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BF, DSI</w:t>
            </w:r>
          </w:p>
        </w:tc>
        <w:tc>
          <w:tcPr>
            <w:tcW w:w="1225"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Hyd. lime, Active carbon</w:t>
            </w:r>
          </w:p>
        </w:tc>
        <w:tc>
          <w:tcPr>
            <w:tcW w:w="840"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0.02</w:t>
            </w:r>
          </w:p>
        </w:tc>
        <w:tc>
          <w:tcPr>
            <w:tcW w:w="808"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NI</w:t>
            </w:r>
          </w:p>
        </w:tc>
        <w:tc>
          <w:tcPr>
            <w:tcW w:w="849"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0.004</w:t>
            </w:r>
          </w:p>
        </w:tc>
        <w:tc>
          <w:tcPr>
            <w:tcW w:w="850"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NI</w:t>
            </w:r>
          </w:p>
        </w:tc>
        <w:tc>
          <w:tcPr>
            <w:tcW w:w="849"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0.202</w:t>
            </w:r>
          </w:p>
        </w:tc>
        <w:tc>
          <w:tcPr>
            <w:tcW w:w="829"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NI</w:t>
            </w:r>
          </w:p>
        </w:tc>
      </w:tr>
    </w:tbl>
    <w:p>
      <w:pPr>
        <w:pStyle w:val="5"/>
        <w:numPr>
          <w:ilvl w:val="0"/>
          <w:numId w:val="11"/>
        </w:numPr>
        <w:spacing w:line="336" w:lineRule="auto"/>
        <w:ind w:firstLine="0"/>
        <w:rPr>
          <w:color w:val="auto"/>
        </w:rPr>
      </w:pPr>
      <w:r>
        <w:rPr>
          <w:rFonts w:eastAsia="宋体" w:cs="Times New Roman"/>
          <w:color w:val="auto"/>
          <w:kern w:val="0"/>
          <w:szCs w:val="21"/>
        </w:rPr>
        <w:t>BAT</w:t>
      </w:r>
      <w:r>
        <w:rPr>
          <w:rFonts w:hint="eastAsia" w:eastAsia="宋体" w:cs="Times New Roman"/>
          <w:color w:val="auto"/>
          <w:kern w:val="0"/>
          <w:szCs w:val="21"/>
        </w:rPr>
        <w:t>中医疗废物焚烧处置项目烟气污染物排放数据</w:t>
      </w:r>
      <w:r>
        <w:rPr>
          <w:rFonts w:eastAsia="宋体" w:cs="Times New Roman"/>
          <w:color w:val="auto"/>
          <w:kern w:val="0"/>
          <w:szCs w:val="21"/>
        </w:rPr>
        <w:t>-</w:t>
      </w:r>
      <w:r>
        <w:rPr>
          <w:rFonts w:hint="eastAsia" w:eastAsia="宋体" w:cs="Times New Roman"/>
          <w:color w:val="auto"/>
          <w:kern w:val="0"/>
          <w:szCs w:val="21"/>
        </w:rPr>
        <w:t>HF/二噁英类</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7"/>
        <w:gridCol w:w="1184"/>
        <w:gridCol w:w="986"/>
        <w:gridCol w:w="664"/>
        <w:gridCol w:w="645"/>
        <w:gridCol w:w="665"/>
        <w:gridCol w:w="645"/>
        <w:gridCol w:w="738"/>
        <w:gridCol w:w="726"/>
        <w:gridCol w:w="665"/>
        <w:gridCol w:w="6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7" w:type="dxa"/>
            <w:vMerge w:val="restart"/>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Ref.line</w:t>
            </w:r>
          </w:p>
        </w:tc>
        <w:tc>
          <w:tcPr>
            <w:tcW w:w="1184" w:type="dxa"/>
            <w:vMerge w:val="restart"/>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Techniques</w:t>
            </w:r>
          </w:p>
        </w:tc>
        <w:tc>
          <w:tcPr>
            <w:tcW w:w="986" w:type="dxa"/>
            <w:vMerge w:val="restart"/>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Reagents used</w:t>
            </w:r>
          </w:p>
        </w:tc>
        <w:tc>
          <w:tcPr>
            <w:tcW w:w="1309" w:type="dxa"/>
            <w:gridSpan w:val="2"/>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HF (mg/Nm</w:t>
            </w:r>
            <w:r>
              <w:rPr>
                <w:color w:val="auto"/>
                <w:kern w:val="0"/>
                <w:sz w:val="18"/>
                <w:szCs w:val="18"/>
                <w:vertAlign w:val="superscript"/>
              </w:rPr>
              <w:t>3</w:t>
            </w:r>
            <w:r>
              <w:rPr>
                <w:color w:val="auto"/>
                <w:kern w:val="0"/>
                <w:sz w:val="18"/>
                <w:szCs w:val="18"/>
              </w:rPr>
              <w:t>)</w:t>
            </w:r>
          </w:p>
        </w:tc>
        <w:tc>
          <w:tcPr>
            <w:tcW w:w="1310" w:type="dxa"/>
            <w:gridSpan w:val="2"/>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PCDD/F (ng I-TEQ/Nm</w:t>
            </w:r>
            <w:r>
              <w:rPr>
                <w:color w:val="auto"/>
                <w:kern w:val="0"/>
                <w:sz w:val="18"/>
                <w:szCs w:val="18"/>
                <w:vertAlign w:val="superscript"/>
              </w:rPr>
              <w:t>3</w:t>
            </w:r>
            <w:r>
              <w:rPr>
                <w:color w:val="auto"/>
                <w:kern w:val="0"/>
                <w:sz w:val="18"/>
                <w:szCs w:val="18"/>
              </w:rPr>
              <w:t>)</w:t>
            </w:r>
          </w:p>
        </w:tc>
        <w:tc>
          <w:tcPr>
            <w:tcW w:w="1310" w:type="dxa"/>
            <w:gridSpan w:val="2"/>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PCBs (ng WHO-TEF/Nm</w:t>
            </w:r>
            <w:r>
              <w:rPr>
                <w:color w:val="auto"/>
                <w:kern w:val="0"/>
                <w:sz w:val="18"/>
                <w:szCs w:val="18"/>
                <w:vertAlign w:val="superscript"/>
              </w:rPr>
              <w:t>3</w:t>
            </w:r>
            <w:r>
              <w:rPr>
                <w:color w:val="auto"/>
                <w:kern w:val="0"/>
                <w:sz w:val="18"/>
                <w:szCs w:val="18"/>
              </w:rPr>
              <w:t>)</w:t>
            </w:r>
          </w:p>
        </w:tc>
        <w:tc>
          <w:tcPr>
            <w:tcW w:w="1310" w:type="dxa"/>
            <w:gridSpan w:val="2"/>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PAH(µg/Nm</w:t>
            </w:r>
            <w:r>
              <w:rPr>
                <w:color w:val="auto"/>
                <w:kern w:val="0"/>
                <w:sz w:val="18"/>
                <w:szCs w:val="18"/>
                <w:vertAlign w:val="superscript"/>
              </w:rPr>
              <w:t>3</w:t>
            </w:r>
            <w:r>
              <w:rPr>
                <w:color w:val="auto"/>
                <w:kern w:val="0"/>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7" w:type="dxa"/>
            <w:vMerge w:val="continue"/>
            <w:vAlign w:val="center"/>
          </w:tcPr>
          <w:p>
            <w:pPr>
              <w:pStyle w:val="32"/>
              <w:adjustRightInd w:val="0"/>
              <w:snapToGrid w:val="0"/>
              <w:spacing w:line="300" w:lineRule="auto"/>
              <w:ind w:firstLine="0" w:firstLineChars="0"/>
              <w:jc w:val="center"/>
              <w:rPr>
                <w:color w:val="auto"/>
                <w:kern w:val="0"/>
                <w:sz w:val="18"/>
                <w:szCs w:val="18"/>
              </w:rPr>
            </w:pPr>
          </w:p>
        </w:tc>
        <w:tc>
          <w:tcPr>
            <w:tcW w:w="1184" w:type="dxa"/>
            <w:vMerge w:val="continue"/>
            <w:vAlign w:val="center"/>
          </w:tcPr>
          <w:p>
            <w:pPr>
              <w:pStyle w:val="32"/>
              <w:adjustRightInd w:val="0"/>
              <w:snapToGrid w:val="0"/>
              <w:spacing w:line="300" w:lineRule="auto"/>
              <w:ind w:firstLine="0" w:firstLineChars="0"/>
              <w:jc w:val="center"/>
              <w:rPr>
                <w:color w:val="auto"/>
                <w:kern w:val="0"/>
                <w:sz w:val="18"/>
                <w:szCs w:val="18"/>
              </w:rPr>
            </w:pPr>
          </w:p>
        </w:tc>
        <w:tc>
          <w:tcPr>
            <w:tcW w:w="986" w:type="dxa"/>
            <w:vMerge w:val="continue"/>
            <w:vAlign w:val="center"/>
          </w:tcPr>
          <w:p>
            <w:pPr>
              <w:pStyle w:val="32"/>
              <w:adjustRightInd w:val="0"/>
              <w:snapToGrid w:val="0"/>
              <w:spacing w:line="300" w:lineRule="auto"/>
              <w:ind w:firstLine="0" w:firstLineChars="0"/>
              <w:jc w:val="center"/>
              <w:rPr>
                <w:color w:val="auto"/>
                <w:kern w:val="0"/>
                <w:sz w:val="18"/>
                <w:szCs w:val="18"/>
              </w:rPr>
            </w:pPr>
          </w:p>
        </w:tc>
        <w:tc>
          <w:tcPr>
            <w:tcW w:w="664" w:type="dxa"/>
            <w:vAlign w:val="center"/>
          </w:tcPr>
          <w:p>
            <w:pPr>
              <w:pStyle w:val="32"/>
              <w:adjustRightInd w:val="0"/>
              <w:snapToGrid w:val="0"/>
              <w:spacing w:line="300" w:lineRule="auto"/>
              <w:ind w:firstLine="0" w:firstLineChars="0"/>
              <w:jc w:val="center"/>
              <w:rPr>
                <w:color w:val="auto"/>
                <w:kern w:val="0"/>
                <w:sz w:val="18"/>
                <w:szCs w:val="18"/>
              </w:rPr>
            </w:pPr>
            <w:r>
              <w:rPr>
                <w:rFonts w:hint="eastAsia"/>
                <w:color w:val="auto"/>
                <w:kern w:val="0"/>
                <w:sz w:val="18"/>
                <w:szCs w:val="18"/>
              </w:rPr>
              <w:t>M</w:t>
            </w:r>
            <w:r>
              <w:rPr>
                <w:color w:val="auto"/>
                <w:kern w:val="0"/>
                <w:sz w:val="18"/>
                <w:szCs w:val="18"/>
              </w:rPr>
              <w:t>ax.</w:t>
            </w:r>
          </w:p>
        </w:tc>
        <w:tc>
          <w:tcPr>
            <w:tcW w:w="645"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Avg.</w:t>
            </w:r>
          </w:p>
        </w:tc>
        <w:tc>
          <w:tcPr>
            <w:tcW w:w="665" w:type="dxa"/>
            <w:vAlign w:val="center"/>
          </w:tcPr>
          <w:p>
            <w:pPr>
              <w:pStyle w:val="32"/>
              <w:adjustRightInd w:val="0"/>
              <w:snapToGrid w:val="0"/>
              <w:spacing w:line="300" w:lineRule="auto"/>
              <w:ind w:firstLine="0" w:firstLineChars="0"/>
              <w:jc w:val="center"/>
              <w:rPr>
                <w:color w:val="auto"/>
                <w:kern w:val="0"/>
                <w:sz w:val="18"/>
                <w:szCs w:val="18"/>
              </w:rPr>
            </w:pPr>
            <w:r>
              <w:rPr>
                <w:rFonts w:hint="eastAsia"/>
                <w:color w:val="auto"/>
                <w:kern w:val="0"/>
                <w:sz w:val="18"/>
                <w:szCs w:val="18"/>
              </w:rPr>
              <w:t>M</w:t>
            </w:r>
            <w:r>
              <w:rPr>
                <w:color w:val="auto"/>
                <w:kern w:val="0"/>
                <w:sz w:val="18"/>
                <w:szCs w:val="18"/>
              </w:rPr>
              <w:t>ax.</w:t>
            </w:r>
          </w:p>
        </w:tc>
        <w:tc>
          <w:tcPr>
            <w:tcW w:w="645"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Avg.</w:t>
            </w:r>
          </w:p>
        </w:tc>
        <w:tc>
          <w:tcPr>
            <w:tcW w:w="665" w:type="dxa"/>
            <w:vAlign w:val="center"/>
          </w:tcPr>
          <w:p>
            <w:pPr>
              <w:pStyle w:val="32"/>
              <w:adjustRightInd w:val="0"/>
              <w:snapToGrid w:val="0"/>
              <w:spacing w:line="300" w:lineRule="auto"/>
              <w:ind w:firstLine="0" w:firstLineChars="0"/>
              <w:jc w:val="center"/>
              <w:rPr>
                <w:color w:val="auto"/>
                <w:kern w:val="0"/>
                <w:sz w:val="18"/>
                <w:szCs w:val="18"/>
              </w:rPr>
            </w:pPr>
            <w:r>
              <w:rPr>
                <w:rFonts w:hint="eastAsia"/>
                <w:color w:val="auto"/>
                <w:kern w:val="0"/>
                <w:sz w:val="18"/>
                <w:szCs w:val="18"/>
              </w:rPr>
              <w:t>M</w:t>
            </w:r>
            <w:r>
              <w:rPr>
                <w:color w:val="auto"/>
                <w:kern w:val="0"/>
                <w:sz w:val="18"/>
                <w:szCs w:val="18"/>
              </w:rPr>
              <w:t>ax.</w:t>
            </w:r>
          </w:p>
        </w:tc>
        <w:tc>
          <w:tcPr>
            <w:tcW w:w="645"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Avg.</w:t>
            </w:r>
          </w:p>
        </w:tc>
        <w:tc>
          <w:tcPr>
            <w:tcW w:w="665" w:type="dxa"/>
            <w:vAlign w:val="center"/>
          </w:tcPr>
          <w:p>
            <w:pPr>
              <w:pStyle w:val="32"/>
              <w:adjustRightInd w:val="0"/>
              <w:snapToGrid w:val="0"/>
              <w:spacing w:line="300" w:lineRule="auto"/>
              <w:ind w:firstLine="0" w:firstLineChars="0"/>
              <w:jc w:val="center"/>
              <w:rPr>
                <w:color w:val="auto"/>
                <w:kern w:val="0"/>
                <w:sz w:val="18"/>
                <w:szCs w:val="18"/>
              </w:rPr>
            </w:pPr>
            <w:r>
              <w:rPr>
                <w:rFonts w:hint="eastAsia"/>
                <w:color w:val="auto"/>
                <w:kern w:val="0"/>
                <w:sz w:val="18"/>
                <w:szCs w:val="18"/>
              </w:rPr>
              <w:t>M</w:t>
            </w:r>
            <w:r>
              <w:rPr>
                <w:color w:val="auto"/>
                <w:kern w:val="0"/>
                <w:sz w:val="18"/>
                <w:szCs w:val="18"/>
              </w:rPr>
              <w:t>ax.</w:t>
            </w:r>
          </w:p>
        </w:tc>
        <w:tc>
          <w:tcPr>
            <w:tcW w:w="645"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Avg.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7"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UK14.1</w:t>
            </w:r>
          </w:p>
        </w:tc>
        <w:tc>
          <w:tcPr>
            <w:tcW w:w="1184" w:type="dxa"/>
            <w:vAlign w:val="center"/>
          </w:tcPr>
          <w:p>
            <w:pPr>
              <w:pStyle w:val="32"/>
              <w:adjustRightInd w:val="0"/>
              <w:snapToGrid w:val="0"/>
              <w:spacing w:line="300" w:lineRule="auto"/>
              <w:ind w:firstLine="0" w:firstLineChars="0"/>
              <w:jc w:val="center"/>
              <w:rPr>
                <w:color w:val="auto"/>
                <w:kern w:val="0"/>
                <w:sz w:val="18"/>
                <w:szCs w:val="18"/>
              </w:rPr>
            </w:pPr>
            <w:r>
              <w:rPr>
                <w:rFonts w:hint="eastAsia"/>
                <w:color w:val="auto"/>
                <w:kern w:val="0"/>
                <w:sz w:val="18"/>
                <w:szCs w:val="18"/>
              </w:rPr>
              <w:t>B</w:t>
            </w:r>
            <w:r>
              <w:rPr>
                <w:color w:val="auto"/>
                <w:kern w:val="0"/>
                <w:sz w:val="18"/>
                <w:szCs w:val="18"/>
              </w:rPr>
              <w:t>F, DSI</w:t>
            </w:r>
          </w:p>
        </w:tc>
        <w:tc>
          <w:tcPr>
            <w:tcW w:w="986" w:type="dxa"/>
            <w:vAlign w:val="center"/>
          </w:tcPr>
          <w:p>
            <w:pPr>
              <w:pStyle w:val="32"/>
              <w:adjustRightInd w:val="0"/>
              <w:snapToGrid w:val="0"/>
              <w:spacing w:line="300" w:lineRule="auto"/>
              <w:ind w:firstLine="0" w:firstLineChars="0"/>
              <w:jc w:val="center"/>
              <w:rPr>
                <w:color w:val="auto"/>
                <w:kern w:val="0"/>
                <w:sz w:val="18"/>
                <w:szCs w:val="18"/>
              </w:rPr>
            </w:pPr>
            <w:r>
              <w:rPr>
                <w:rFonts w:hint="eastAsia"/>
                <w:color w:val="auto"/>
                <w:kern w:val="0"/>
                <w:sz w:val="18"/>
                <w:szCs w:val="18"/>
              </w:rPr>
              <w:t>H</w:t>
            </w:r>
            <w:r>
              <w:rPr>
                <w:color w:val="auto"/>
                <w:kern w:val="0"/>
                <w:sz w:val="18"/>
                <w:szCs w:val="18"/>
              </w:rPr>
              <w:t>yd. lime, Active carbon</w:t>
            </w:r>
          </w:p>
        </w:tc>
        <w:tc>
          <w:tcPr>
            <w:tcW w:w="664" w:type="dxa"/>
            <w:vAlign w:val="center"/>
          </w:tcPr>
          <w:p>
            <w:pPr>
              <w:pStyle w:val="32"/>
              <w:adjustRightInd w:val="0"/>
              <w:snapToGrid w:val="0"/>
              <w:spacing w:line="300" w:lineRule="auto"/>
              <w:ind w:firstLine="0" w:firstLineChars="0"/>
              <w:jc w:val="center"/>
              <w:rPr>
                <w:color w:val="auto"/>
                <w:kern w:val="0"/>
                <w:sz w:val="18"/>
                <w:szCs w:val="18"/>
              </w:rPr>
            </w:pPr>
            <w:r>
              <w:rPr>
                <w:rFonts w:hint="eastAsia"/>
                <w:color w:val="auto"/>
                <w:kern w:val="0"/>
                <w:sz w:val="18"/>
                <w:szCs w:val="18"/>
              </w:rPr>
              <w:t>1</w:t>
            </w:r>
            <w:r>
              <w:rPr>
                <w:color w:val="auto"/>
                <w:kern w:val="0"/>
                <w:sz w:val="18"/>
                <w:szCs w:val="18"/>
              </w:rPr>
              <w:t>.2</w:t>
            </w:r>
          </w:p>
        </w:tc>
        <w:tc>
          <w:tcPr>
            <w:tcW w:w="645" w:type="dxa"/>
            <w:vAlign w:val="center"/>
          </w:tcPr>
          <w:p>
            <w:pPr>
              <w:pStyle w:val="32"/>
              <w:adjustRightInd w:val="0"/>
              <w:snapToGrid w:val="0"/>
              <w:spacing w:line="300" w:lineRule="auto"/>
              <w:ind w:firstLine="0" w:firstLineChars="0"/>
              <w:jc w:val="center"/>
              <w:rPr>
                <w:color w:val="auto"/>
                <w:kern w:val="0"/>
                <w:sz w:val="18"/>
                <w:szCs w:val="18"/>
              </w:rPr>
            </w:pPr>
            <w:r>
              <w:rPr>
                <w:rFonts w:hint="eastAsia"/>
                <w:color w:val="auto"/>
                <w:kern w:val="0"/>
                <w:sz w:val="18"/>
                <w:szCs w:val="18"/>
              </w:rPr>
              <w:t>0</w:t>
            </w:r>
            <w:r>
              <w:rPr>
                <w:color w:val="auto"/>
                <w:kern w:val="0"/>
                <w:sz w:val="18"/>
                <w:szCs w:val="18"/>
              </w:rPr>
              <w:t>.4</w:t>
            </w:r>
          </w:p>
        </w:tc>
        <w:tc>
          <w:tcPr>
            <w:tcW w:w="665" w:type="dxa"/>
            <w:vAlign w:val="center"/>
          </w:tcPr>
          <w:p>
            <w:pPr>
              <w:pStyle w:val="32"/>
              <w:adjustRightInd w:val="0"/>
              <w:snapToGrid w:val="0"/>
              <w:spacing w:line="300" w:lineRule="auto"/>
              <w:ind w:firstLine="0" w:firstLineChars="0"/>
              <w:jc w:val="center"/>
              <w:rPr>
                <w:color w:val="auto"/>
                <w:kern w:val="0"/>
                <w:sz w:val="18"/>
                <w:szCs w:val="18"/>
              </w:rPr>
            </w:pPr>
            <w:r>
              <w:rPr>
                <w:rFonts w:hint="eastAsia"/>
                <w:color w:val="auto"/>
                <w:kern w:val="0"/>
                <w:sz w:val="18"/>
                <w:szCs w:val="18"/>
              </w:rPr>
              <w:t>0</w:t>
            </w:r>
            <w:r>
              <w:rPr>
                <w:color w:val="auto"/>
                <w:kern w:val="0"/>
                <w:sz w:val="18"/>
                <w:szCs w:val="18"/>
              </w:rPr>
              <w:t>.02</w:t>
            </w:r>
          </w:p>
        </w:tc>
        <w:tc>
          <w:tcPr>
            <w:tcW w:w="645" w:type="dxa"/>
            <w:vAlign w:val="center"/>
          </w:tcPr>
          <w:p>
            <w:pPr>
              <w:pStyle w:val="32"/>
              <w:adjustRightInd w:val="0"/>
              <w:snapToGrid w:val="0"/>
              <w:spacing w:line="300" w:lineRule="auto"/>
              <w:ind w:firstLine="0" w:firstLineChars="0"/>
              <w:jc w:val="center"/>
              <w:rPr>
                <w:color w:val="auto"/>
                <w:kern w:val="0"/>
                <w:sz w:val="18"/>
                <w:szCs w:val="18"/>
              </w:rPr>
            </w:pPr>
            <w:r>
              <w:rPr>
                <w:rFonts w:hint="eastAsia"/>
                <w:color w:val="auto"/>
                <w:kern w:val="0"/>
                <w:sz w:val="18"/>
                <w:szCs w:val="18"/>
              </w:rPr>
              <w:t>0</w:t>
            </w:r>
            <w:r>
              <w:rPr>
                <w:color w:val="auto"/>
                <w:kern w:val="0"/>
                <w:sz w:val="18"/>
                <w:szCs w:val="18"/>
              </w:rPr>
              <w:t>.006</w:t>
            </w:r>
          </w:p>
        </w:tc>
        <w:tc>
          <w:tcPr>
            <w:tcW w:w="665" w:type="dxa"/>
            <w:vAlign w:val="center"/>
          </w:tcPr>
          <w:p>
            <w:pPr>
              <w:pStyle w:val="32"/>
              <w:adjustRightInd w:val="0"/>
              <w:snapToGrid w:val="0"/>
              <w:spacing w:line="300" w:lineRule="auto"/>
              <w:ind w:firstLine="0" w:firstLineChars="0"/>
              <w:jc w:val="center"/>
              <w:rPr>
                <w:color w:val="auto"/>
                <w:kern w:val="0"/>
                <w:sz w:val="18"/>
                <w:szCs w:val="18"/>
              </w:rPr>
            </w:pPr>
            <w:r>
              <w:rPr>
                <w:rFonts w:hint="eastAsia"/>
                <w:color w:val="auto"/>
                <w:kern w:val="0"/>
                <w:sz w:val="18"/>
                <w:szCs w:val="18"/>
              </w:rPr>
              <w:t>0</w:t>
            </w:r>
            <w:r>
              <w:rPr>
                <w:color w:val="auto"/>
                <w:kern w:val="0"/>
                <w:sz w:val="18"/>
                <w:szCs w:val="18"/>
              </w:rPr>
              <w:t>.011</w:t>
            </w:r>
          </w:p>
        </w:tc>
        <w:tc>
          <w:tcPr>
            <w:tcW w:w="645" w:type="dxa"/>
            <w:vAlign w:val="center"/>
          </w:tcPr>
          <w:p>
            <w:pPr>
              <w:pStyle w:val="32"/>
              <w:adjustRightInd w:val="0"/>
              <w:snapToGrid w:val="0"/>
              <w:spacing w:line="300" w:lineRule="auto"/>
              <w:ind w:firstLine="0" w:firstLineChars="0"/>
              <w:jc w:val="center"/>
              <w:rPr>
                <w:color w:val="auto"/>
                <w:kern w:val="0"/>
                <w:sz w:val="18"/>
                <w:szCs w:val="18"/>
              </w:rPr>
            </w:pPr>
            <w:r>
              <w:rPr>
                <w:rFonts w:hint="eastAsia"/>
                <w:color w:val="auto"/>
                <w:kern w:val="0"/>
                <w:sz w:val="18"/>
                <w:szCs w:val="18"/>
              </w:rPr>
              <w:t>0</w:t>
            </w:r>
            <w:r>
              <w:rPr>
                <w:color w:val="auto"/>
                <w:kern w:val="0"/>
                <w:sz w:val="18"/>
                <w:szCs w:val="18"/>
              </w:rPr>
              <w:t>.006</w:t>
            </w:r>
          </w:p>
        </w:tc>
        <w:tc>
          <w:tcPr>
            <w:tcW w:w="665" w:type="dxa"/>
            <w:vAlign w:val="center"/>
          </w:tcPr>
          <w:p>
            <w:pPr>
              <w:pStyle w:val="32"/>
              <w:adjustRightInd w:val="0"/>
              <w:snapToGrid w:val="0"/>
              <w:spacing w:line="300" w:lineRule="auto"/>
              <w:ind w:firstLine="0" w:firstLineChars="0"/>
              <w:jc w:val="center"/>
              <w:rPr>
                <w:color w:val="auto"/>
                <w:kern w:val="0"/>
                <w:sz w:val="18"/>
                <w:szCs w:val="18"/>
              </w:rPr>
            </w:pPr>
            <w:r>
              <w:rPr>
                <w:rFonts w:hint="eastAsia"/>
                <w:color w:val="auto"/>
                <w:kern w:val="0"/>
                <w:sz w:val="18"/>
                <w:szCs w:val="18"/>
              </w:rPr>
              <w:t>3</w:t>
            </w:r>
            <w:r>
              <w:rPr>
                <w:color w:val="auto"/>
                <w:kern w:val="0"/>
                <w:sz w:val="18"/>
                <w:szCs w:val="18"/>
              </w:rPr>
              <w:t>.2</w:t>
            </w:r>
          </w:p>
        </w:tc>
        <w:tc>
          <w:tcPr>
            <w:tcW w:w="645" w:type="dxa"/>
            <w:vAlign w:val="center"/>
          </w:tcPr>
          <w:p>
            <w:pPr>
              <w:pStyle w:val="32"/>
              <w:adjustRightInd w:val="0"/>
              <w:snapToGrid w:val="0"/>
              <w:spacing w:line="300" w:lineRule="auto"/>
              <w:ind w:firstLine="0" w:firstLineChars="0"/>
              <w:jc w:val="center"/>
              <w:rPr>
                <w:color w:val="auto"/>
                <w:kern w:val="0"/>
                <w:sz w:val="18"/>
                <w:szCs w:val="18"/>
              </w:rPr>
            </w:pPr>
            <w:r>
              <w:rPr>
                <w:rFonts w:hint="eastAsia"/>
                <w:color w:val="auto"/>
                <w:kern w:val="0"/>
                <w:sz w:val="18"/>
                <w:szCs w:val="18"/>
              </w:rPr>
              <w:t>1</w:t>
            </w:r>
            <w:r>
              <w:rPr>
                <w:color w:val="auto"/>
                <w:kern w:val="0"/>
                <w:sz w:val="18"/>
                <w:szCs w:val="18"/>
              </w:rPr>
              <w:t>.9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7" w:type="dxa"/>
            <w:vAlign w:val="center"/>
          </w:tcPr>
          <w:p>
            <w:pPr>
              <w:pStyle w:val="32"/>
              <w:adjustRightInd w:val="0"/>
              <w:snapToGrid w:val="0"/>
              <w:spacing w:line="300" w:lineRule="auto"/>
              <w:ind w:firstLine="0" w:firstLineChars="0"/>
              <w:jc w:val="center"/>
              <w:rPr>
                <w:color w:val="auto"/>
                <w:kern w:val="0"/>
                <w:sz w:val="18"/>
                <w:szCs w:val="18"/>
              </w:rPr>
            </w:pPr>
            <w:r>
              <w:rPr>
                <w:color w:val="auto"/>
                <w:kern w:val="0"/>
                <w:sz w:val="18"/>
                <w:szCs w:val="18"/>
              </w:rPr>
              <w:t>UK14.2</w:t>
            </w:r>
          </w:p>
        </w:tc>
        <w:tc>
          <w:tcPr>
            <w:tcW w:w="1184" w:type="dxa"/>
            <w:vAlign w:val="center"/>
          </w:tcPr>
          <w:p>
            <w:pPr>
              <w:pStyle w:val="32"/>
              <w:adjustRightInd w:val="0"/>
              <w:snapToGrid w:val="0"/>
              <w:spacing w:line="300" w:lineRule="auto"/>
              <w:ind w:firstLine="0" w:firstLineChars="0"/>
              <w:jc w:val="center"/>
              <w:rPr>
                <w:color w:val="auto"/>
                <w:kern w:val="0"/>
                <w:sz w:val="18"/>
                <w:szCs w:val="18"/>
              </w:rPr>
            </w:pPr>
            <w:r>
              <w:rPr>
                <w:rFonts w:hint="eastAsia"/>
                <w:color w:val="auto"/>
                <w:kern w:val="0"/>
                <w:sz w:val="18"/>
                <w:szCs w:val="18"/>
              </w:rPr>
              <w:t>B</w:t>
            </w:r>
            <w:r>
              <w:rPr>
                <w:color w:val="auto"/>
                <w:kern w:val="0"/>
                <w:sz w:val="18"/>
                <w:szCs w:val="18"/>
              </w:rPr>
              <w:t>F, DSI</w:t>
            </w:r>
          </w:p>
        </w:tc>
        <w:tc>
          <w:tcPr>
            <w:tcW w:w="986" w:type="dxa"/>
            <w:vAlign w:val="center"/>
          </w:tcPr>
          <w:p>
            <w:pPr>
              <w:pStyle w:val="32"/>
              <w:adjustRightInd w:val="0"/>
              <w:snapToGrid w:val="0"/>
              <w:spacing w:line="300" w:lineRule="auto"/>
              <w:ind w:firstLine="0" w:firstLineChars="0"/>
              <w:jc w:val="center"/>
              <w:rPr>
                <w:color w:val="auto"/>
                <w:kern w:val="0"/>
                <w:sz w:val="18"/>
                <w:szCs w:val="18"/>
              </w:rPr>
            </w:pPr>
            <w:r>
              <w:rPr>
                <w:rFonts w:hint="eastAsia"/>
                <w:color w:val="auto"/>
                <w:kern w:val="0"/>
                <w:sz w:val="18"/>
                <w:szCs w:val="18"/>
              </w:rPr>
              <w:t>H</w:t>
            </w:r>
            <w:r>
              <w:rPr>
                <w:color w:val="auto"/>
                <w:kern w:val="0"/>
                <w:sz w:val="18"/>
                <w:szCs w:val="18"/>
              </w:rPr>
              <w:t>yd. lime, Active carbon</w:t>
            </w:r>
          </w:p>
        </w:tc>
        <w:tc>
          <w:tcPr>
            <w:tcW w:w="664" w:type="dxa"/>
            <w:vAlign w:val="center"/>
          </w:tcPr>
          <w:p>
            <w:pPr>
              <w:pStyle w:val="32"/>
              <w:adjustRightInd w:val="0"/>
              <w:snapToGrid w:val="0"/>
              <w:spacing w:line="300" w:lineRule="auto"/>
              <w:ind w:firstLine="0" w:firstLineChars="0"/>
              <w:jc w:val="center"/>
              <w:rPr>
                <w:color w:val="auto"/>
                <w:kern w:val="0"/>
                <w:sz w:val="18"/>
                <w:szCs w:val="18"/>
              </w:rPr>
            </w:pPr>
            <w:r>
              <w:rPr>
                <w:rFonts w:hint="eastAsia"/>
                <w:color w:val="auto"/>
                <w:kern w:val="0"/>
                <w:sz w:val="18"/>
                <w:szCs w:val="18"/>
              </w:rPr>
              <w:t>1</w:t>
            </w:r>
            <w:r>
              <w:rPr>
                <w:color w:val="auto"/>
                <w:kern w:val="0"/>
                <w:sz w:val="18"/>
                <w:szCs w:val="18"/>
              </w:rPr>
              <w:t>.2</w:t>
            </w:r>
          </w:p>
        </w:tc>
        <w:tc>
          <w:tcPr>
            <w:tcW w:w="645" w:type="dxa"/>
            <w:vAlign w:val="center"/>
          </w:tcPr>
          <w:p>
            <w:pPr>
              <w:pStyle w:val="32"/>
              <w:adjustRightInd w:val="0"/>
              <w:snapToGrid w:val="0"/>
              <w:spacing w:line="300" w:lineRule="auto"/>
              <w:ind w:firstLine="0" w:firstLineChars="0"/>
              <w:jc w:val="center"/>
              <w:rPr>
                <w:color w:val="auto"/>
                <w:kern w:val="0"/>
                <w:sz w:val="18"/>
                <w:szCs w:val="18"/>
              </w:rPr>
            </w:pPr>
            <w:r>
              <w:rPr>
                <w:rFonts w:hint="eastAsia"/>
                <w:color w:val="auto"/>
                <w:kern w:val="0"/>
                <w:sz w:val="18"/>
                <w:szCs w:val="18"/>
              </w:rPr>
              <w:t>N</w:t>
            </w:r>
            <w:r>
              <w:rPr>
                <w:color w:val="auto"/>
                <w:kern w:val="0"/>
                <w:sz w:val="18"/>
                <w:szCs w:val="18"/>
              </w:rPr>
              <w:t>I</w:t>
            </w:r>
          </w:p>
        </w:tc>
        <w:tc>
          <w:tcPr>
            <w:tcW w:w="665" w:type="dxa"/>
            <w:vAlign w:val="center"/>
          </w:tcPr>
          <w:p>
            <w:pPr>
              <w:pStyle w:val="32"/>
              <w:adjustRightInd w:val="0"/>
              <w:snapToGrid w:val="0"/>
              <w:spacing w:line="300" w:lineRule="auto"/>
              <w:ind w:firstLine="0" w:firstLineChars="0"/>
              <w:jc w:val="center"/>
              <w:rPr>
                <w:color w:val="auto"/>
                <w:kern w:val="0"/>
                <w:sz w:val="18"/>
                <w:szCs w:val="18"/>
              </w:rPr>
            </w:pPr>
            <w:r>
              <w:rPr>
                <w:rFonts w:hint="eastAsia"/>
                <w:color w:val="auto"/>
                <w:kern w:val="0"/>
                <w:sz w:val="18"/>
                <w:szCs w:val="18"/>
              </w:rPr>
              <w:t>0</w:t>
            </w:r>
            <w:r>
              <w:rPr>
                <w:color w:val="auto"/>
                <w:kern w:val="0"/>
                <w:sz w:val="18"/>
                <w:szCs w:val="18"/>
              </w:rPr>
              <w:t>.02</w:t>
            </w:r>
          </w:p>
        </w:tc>
        <w:tc>
          <w:tcPr>
            <w:tcW w:w="645" w:type="dxa"/>
            <w:vAlign w:val="center"/>
          </w:tcPr>
          <w:p>
            <w:pPr>
              <w:pStyle w:val="32"/>
              <w:adjustRightInd w:val="0"/>
              <w:snapToGrid w:val="0"/>
              <w:spacing w:line="300" w:lineRule="auto"/>
              <w:ind w:firstLine="0" w:firstLineChars="0"/>
              <w:jc w:val="center"/>
              <w:rPr>
                <w:color w:val="auto"/>
                <w:kern w:val="0"/>
                <w:sz w:val="18"/>
                <w:szCs w:val="18"/>
              </w:rPr>
            </w:pPr>
            <w:r>
              <w:rPr>
                <w:rFonts w:hint="eastAsia"/>
                <w:color w:val="auto"/>
                <w:kern w:val="0"/>
                <w:sz w:val="18"/>
                <w:szCs w:val="18"/>
              </w:rPr>
              <w:t>N</w:t>
            </w:r>
            <w:r>
              <w:rPr>
                <w:color w:val="auto"/>
                <w:kern w:val="0"/>
                <w:sz w:val="18"/>
                <w:szCs w:val="18"/>
              </w:rPr>
              <w:t>I</w:t>
            </w:r>
          </w:p>
        </w:tc>
        <w:tc>
          <w:tcPr>
            <w:tcW w:w="665" w:type="dxa"/>
            <w:vAlign w:val="center"/>
          </w:tcPr>
          <w:p>
            <w:pPr>
              <w:pStyle w:val="32"/>
              <w:adjustRightInd w:val="0"/>
              <w:snapToGrid w:val="0"/>
              <w:spacing w:line="300" w:lineRule="auto"/>
              <w:ind w:firstLine="0" w:firstLineChars="0"/>
              <w:jc w:val="center"/>
              <w:rPr>
                <w:color w:val="auto"/>
                <w:kern w:val="0"/>
                <w:sz w:val="18"/>
                <w:szCs w:val="18"/>
              </w:rPr>
            </w:pPr>
            <w:r>
              <w:rPr>
                <w:rFonts w:hint="eastAsia"/>
                <w:color w:val="auto"/>
                <w:kern w:val="0"/>
                <w:sz w:val="18"/>
                <w:szCs w:val="18"/>
              </w:rPr>
              <w:t>0</w:t>
            </w:r>
            <w:r>
              <w:rPr>
                <w:color w:val="auto"/>
                <w:kern w:val="0"/>
                <w:sz w:val="18"/>
                <w:szCs w:val="18"/>
              </w:rPr>
              <w:t>.011</w:t>
            </w:r>
          </w:p>
        </w:tc>
        <w:tc>
          <w:tcPr>
            <w:tcW w:w="645" w:type="dxa"/>
            <w:vAlign w:val="center"/>
          </w:tcPr>
          <w:p>
            <w:pPr>
              <w:pStyle w:val="32"/>
              <w:adjustRightInd w:val="0"/>
              <w:snapToGrid w:val="0"/>
              <w:spacing w:line="300" w:lineRule="auto"/>
              <w:ind w:firstLine="0" w:firstLineChars="0"/>
              <w:jc w:val="center"/>
              <w:rPr>
                <w:color w:val="auto"/>
                <w:kern w:val="0"/>
                <w:sz w:val="18"/>
                <w:szCs w:val="18"/>
              </w:rPr>
            </w:pPr>
            <w:r>
              <w:rPr>
                <w:rFonts w:hint="eastAsia"/>
                <w:color w:val="auto"/>
                <w:kern w:val="0"/>
                <w:sz w:val="18"/>
                <w:szCs w:val="18"/>
              </w:rPr>
              <w:t>N</w:t>
            </w:r>
            <w:r>
              <w:rPr>
                <w:color w:val="auto"/>
                <w:kern w:val="0"/>
                <w:sz w:val="18"/>
                <w:szCs w:val="18"/>
              </w:rPr>
              <w:t>I</w:t>
            </w:r>
          </w:p>
        </w:tc>
        <w:tc>
          <w:tcPr>
            <w:tcW w:w="665" w:type="dxa"/>
            <w:vAlign w:val="center"/>
          </w:tcPr>
          <w:p>
            <w:pPr>
              <w:pStyle w:val="32"/>
              <w:adjustRightInd w:val="0"/>
              <w:snapToGrid w:val="0"/>
              <w:spacing w:line="300" w:lineRule="auto"/>
              <w:ind w:firstLine="0" w:firstLineChars="0"/>
              <w:jc w:val="center"/>
              <w:rPr>
                <w:color w:val="auto"/>
                <w:kern w:val="0"/>
                <w:sz w:val="18"/>
                <w:szCs w:val="18"/>
              </w:rPr>
            </w:pPr>
            <w:r>
              <w:rPr>
                <w:rFonts w:hint="eastAsia"/>
                <w:color w:val="auto"/>
                <w:kern w:val="0"/>
                <w:sz w:val="18"/>
                <w:szCs w:val="18"/>
              </w:rPr>
              <w:t>3</w:t>
            </w:r>
            <w:r>
              <w:rPr>
                <w:color w:val="auto"/>
                <w:kern w:val="0"/>
                <w:sz w:val="18"/>
                <w:szCs w:val="18"/>
              </w:rPr>
              <w:t>.2</w:t>
            </w:r>
          </w:p>
        </w:tc>
        <w:tc>
          <w:tcPr>
            <w:tcW w:w="645" w:type="dxa"/>
            <w:vAlign w:val="center"/>
          </w:tcPr>
          <w:p>
            <w:pPr>
              <w:pStyle w:val="32"/>
              <w:adjustRightInd w:val="0"/>
              <w:snapToGrid w:val="0"/>
              <w:spacing w:line="300" w:lineRule="auto"/>
              <w:ind w:firstLine="0" w:firstLineChars="0"/>
              <w:jc w:val="center"/>
              <w:rPr>
                <w:color w:val="auto"/>
                <w:kern w:val="0"/>
                <w:sz w:val="18"/>
                <w:szCs w:val="18"/>
              </w:rPr>
            </w:pPr>
            <w:r>
              <w:rPr>
                <w:rFonts w:hint="eastAsia"/>
                <w:color w:val="auto"/>
                <w:kern w:val="0"/>
                <w:sz w:val="18"/>
                <w:szCs w:val="18"/>
              </w:rPr>
              <w:t>N</w:t>
            </w:r>
            <w:r>
              <w:rPr>
                <w:color w:val="auto"/>
                <w:kern w:val="0"/>
                <w:sz w:val="18"/>
                <w:szCs w:val="18"/>
              </w:rPr>
              <w:t>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7" w:type="dxa"/>
            <w:vAlign w:val="center"/>
          </w:tcPr>
          <w:p>
            <w:pPr>
              <w:pStyle w:val="32"/>
              <w:adjustRightInd w:val="0"/>
              <w:snapToGrid w:val="0"/>
              <w:spacing w:line="300" w:lineRule="auto"/>
              <w:ind w:firstLine="0" w:firstLineChars="0"/>
              <w:jc w:val="center"/>
              <w:rPr>
                <w:color w:val="auto"/>
                <w:kern w:val="0"/>
                <w:sz w:val="18"/>
                <w:szCs w:val="18"/>
              </w:rPr>
            </w:pPr>
            <w:r>
              <w:rPr>
                <w:rFonts w:hint="eastAsia"/>
                <w:color w:val="auto"/>
                <w:kern w:val="0"/>
                <w:sz w:val="18"/>
                <w:szCs w:val="18"/>
              </w:rPr>
              <w:t>N</w:t>
            </w:r>
            <w:r>
              <w:rPr>
                <w:color w:val="auto"/>
                <w:kern w:val="0"/>
                <w:sz w:val="18"/>
                <w:szCs w:val="18"/>
              </w:rPr>
              <w:t>L04</w:t>
            </w:r>
          </w:p>
        </w:tc>
        <w:tc>
          <w:tcPr>
            <w:tcW w:w="1184" w:type="dxa"/>
            <w:vAlign w:val="center"/>
          </w:tcPr>
          <w:p>
            <w:pPr>
              <w:pStyle w:val="32"/>
              <w:adjustRightInd w:val="0"/>
              <w:snapToGrid w:val="0"/>
              <w:spacing w:line="300" w:lineRule="auto"/>
              <w:ind w:firstLine="0" w:firstLineChars="0"/>
              <w:jc w:val="center"/>
              <w:rPr>
                <w:color w:val="auto"/>
                <w:kern w:val="0"/>
                <w:sz w:val="18"/>
                <w:szCs w:val="18"/>
              </w:rPr>
            </w:pPr>
            <w:r>
              <w:rPr>
                <w:rFonts w:hint="eastAsia"/>
                <w:color w:val="auto"/>
                <w:kern w:val="0"/>
                <w:sz w:val="18"/>
                <w:szCs w:val="18"/>
              </w:rPr>
              <w:t>B</w:t>
            </w:r>
            <w:r>
              <w:rPr>
                <w:color w:val="auto"/>
                <w:kern w:val="0"/>
                <w:sz w:val="18"/>
                <w:szCs w:val="18"/>
              </w:rPr>
              <w:t>F, WS, DSI, SCR</w:t>
            </w:r>
          </w:p>
        </w:tc>
        <w:tc>
          <w:tcPr>
            <w:tcW w:w="986" w:type="dxa"/>
            <w:vAlign w:val="center"/>
          </w:tcPr>
          <w:p>
            <w:pPr>
              <w:pStyle w:val="32"/>
              <w:adjustRightInd w:val="0"/>
              <w:snapToGrid w:val="0"/>
              <w:spacing w:line="300" w:lineRule="auto"/>
              <w:ind w:firstLine="0" w:firstLineChars="0"/>
              <w:jc w:val="center"/>
              <w:rPr>
                <w:color w:val="auto"/>
                <w:kern w:val="0"/>
                <w:sz w:val="18"/>
                <w:szCs w:val="18"/>
              </w:rPr>
            </w:pPr>
            <w:r>
              <w:rPr>
                <w:rFonts w:hint="eastAsia"/>
                <w:color w:val="auto"/>
                <w:kern w:val="0"/>
                <w:sz w:val="18"/>
                <w:szCs w:val="18"/>
              </w:rPr>
              <w:t>N</w:t>
            </w:r>
            <w:r>
              <w:rPr>
                <w:color w:val="auto"/>
                <w:kern w:val="0"/>
                <w:sz w:val="18"/>
                <w:szCs w:val="18"/>
              </w:rPr>
              <w:t>I</w:t>
            </w:r>
          </w:p>
        </w:tc>
        <w:tc>
          <w:tcPr>
            <w:tcW w:w="664" w:type="dxa"/>
            <w:vAlign w:val="center"/>
          </w:tcPr>
          <w:p>
            <w:pPr>
              <w:pStyle w:val="32"/>
              <w:adjustRightInd w:val="0"/>
              <w:snapToGrid w:val="0"/>
              <w:spacing w:line="300" w:lineRule="auto"/>
              <w:ind w:firstLine="0" w:firstLineChars="0"/>
              <w:jc w:val="center"/>
              <w:rPr>
                <w:color w:val="auto"/>
                <w:kern w:val="0"/>
                <w:sz w:val="18"/>
                <w:szCs w:val="18"/>
              </w:rPr>
            </w:pPr>
            <w:r>
              <w:rPr>
                <w:rFonts w:hint="eastAsia"/>
                <w:color w:val="auto"/>
                <w:kern w:val="0"/>
                <w:sz w:val="18"/>
                <w:szCs w:val="18"/>
              </w:rPr>
              <w:t>0</w:t>
            </w:r>
          </w:p>
        </w:tc>
        <w:tc>
          <w:tcPr>
            <w:tcW w:w="645" w:type="dxa"/>
            <w:vAlign w:val="center"/>
          </w:tcPr>
          <w:p>
            <w:pPr>
              <w:pStyle w:val="32"/>
              <w:adjustRightInd w:val="0"/>
              <w:snapToGrid w:val="0"/>
              <w:spacing w:line="300" w:lineRule="auto"/>
              <w:ind w:firstLine="0" w:firstLineChars="0"/>
              <w:jc w:val="center"/>
              <w:rPr>
                <w:color w:val="auto"/>
                <w:kern w:val="0"/>
                <w:sz w:val="18"/>
                <w:szCs w:val="18"/>
              </w:rPr>
            </w:pPr>
            <w:r>
              <w:rPr>
                <w:rFonts w:hint="eastAsia"/>
                <w:color w:val="auto"/>
                <w:kern w:val="0"/>
                <w:sz w:val="18"/>
                <w:szCs w:val="18"/>
              </w:rPr>
              <w:t>N</w:t>
            </w:r>
            <w:r>
              <w:rPr>
                <w:color w:val="auto"/>
                <w:kern w:val="0"/>
                <w:sz w:val="18"/>
                <w:szCs w:val="18"/>
              </w:rPr>
              <w:t>I</w:t>
            </w:r>
          </w:p>
        </w:tc>
        <w:tc>
          <w:tcPr>
            <w:tcW w:w="665" w:type="dxa"/>
            <w:vAlign w:val="center"/>
          </w:tcPr>
          <w:p>
            <w:pPr>
              <w:pStyle w:val="32"/>
              <w:adjustRightInd w:val="0"/>
              <w:snapToGrid w:val="0"/>
              <w:spacing w:line="300" w:lineRule="auto"/>
              <w:ind w:firstLine="0" w:firstLineChars="0"/>
              <w:jc w:val="center"/>
              <w:rPr>
                <w:color w:val="auto"/>
                <w:kern w:val="0"/>
                <w:sz w:val="18"/>
                <w:szCs w:val="18"/>
              </w:rPr>
            </w:pPr>
            <w:r>
              <w:rPr>
                <w:rFonts w:hint="eastAsia"/>
                <w:color w:val="auto"/>
                <w:kern w:val="0"/>
                <w:sz w:val="18"/>
                <w:szCs w:val="18"/>
              </w:rPr>
              <w:t>0</w:t>
            </w:r>
            <w:r>
              <w:rPr>
                <w:color w:val="auto"/>
                <w:kern w:val="0"/>
                <w:sz w:val="18"/>
                <w:szCs w:val="18"/>
              </w:rPr>
              <w:t>.01</w:t>
            </w:r>
          </w:p>
        </w:tc>
        <w:tc>
          <w:tcPr>
            <w:tcW w:w="645" w:type="dxa"/>
            <w:vAlign w:val="center"/>
          </w:tcPr>
          <w:p>
            <w:pPr>
              <w:pStyle w:val="32"/>
              <w:adjustRightInd w:val="0"/>
              <w:snapToGrid w:val="0"/>
              <w:spacing w:line="300" w:lineRule="auto"/>
              <w:ind w:firstLine="0" w:firstLineChars="0"/>
              <w:jc w:val="center"/>
              <w:rPr>
                <w:color w:val="auto"/>
                <w:kern w:val="0"/>
                <w:sz w:val="18"/>
                <w:szCs w:val="18"/>
              </w:rPr>
            </w:pPr>
            <w:r>
              <w:rPr>
                <w:rFonts w:hint="eastAsia"/>
                <w:color w:val="auto"/>
                <w:kern w:val="0"/>
                <w:sz w:val="18"/>
                <w:szCs w:val="18"/>
              </w:rPr>
              <w:t>N</w:t>
            </w:r>
            <w:r>
              <w:rPr>
                <w:color w:val="auto"/>
                <w:kern w:val="0"/>
                <w:sz w:val="18"/>
                <w:szCs w:val="18"/>
              </w:rPr>
              <w:t>I</w:t>
            </w:r>
          </w:p>
        </w:tc>
        <w:tc>
          <w:tcPr>
            <w:tcW w:w="665" w:type="dxa"/>
            <w:vAlign w:val="center"/>
          </w:tcPr>
          <w:p>
            <w:pPr>
              <w:pStyle w:val="32"/>
              <w:adjustRightInd w:val="0"/>
              <w:snapToGrid w:val="0"/>
              <w:spacing w:line="300" w:lineRule="auto"/>
              <w:ind w:firstLine="0" w:firstLineChars="0"/>
              <w:jc w:val="center"/>
              <w:rPr>
                <w:color w:val="auto"/>
                <w:kern w:val="0"/>
                <w:sz w:val="18"/>
                <w:szCs w:val="18"/>
              </w:rPr>
            </w:pPr>
            <w:r>
              <w:rPr>
                <w:rFonts w:hint="eastAsia"/>
                <w:color w:val="auto"/>
                <w:kern w:val="0"/>
                <w:sz w:val="18"/>
                <w:szCs w:val="18"/>
              </w:rPr>
              <w:t>N</w:t>
            </w:r>
            <w:r>
              <w:rPr>
                <w:color w:val="auto"/>
                <w:kern w:val="0"/>
                <w:sz w:val="18"/>
                <w:szCs w:val="18"/>
              </w:rPr>
              <w:t>I</w:t>
            </w:r>
          </w:p>
        </w:tc>
        <w:tc>
          <w:tcPr>
            <w:tcW w:w="645" w:type="dxa"/>
            <w:vAlign w:val="center"/>
          </w:tcPr>
          <w:p>
            <w:pPr>
              <w:pStyle w:val="32"/>
              <w:adjustRightInd w:val="0"/>
              <w:snapToGrid w:val="0"/>
              <w:spacing w:line="300" w:lineRule="auto"/>
              <w:ind w:firstLine="0" w:firstLineChars="0"/>
              <w:jc w:val="center"/>
              <w:rPr>
                <w:color w:val="auto"/>
                <w:kern w:val="0"/>
                <w:sz w:val="18"/>
                <w:szCs w:val="18"/>
              </w:rPr>
            </w:pPr>
            <w:r>
              <w:rPr>
                <w:rFonts w:hint="eastAsia"/>
                <w:color w:val="auto"/>
                <w:kern w:val="0"/>
                <w:sz w:val="18"/>
                <w:szCs w:val="18"/>
              </w:rPr>
              <w:t>N</w:t>
            </w:r>
            <w:r>
              <w:rPr>
                <w:color w:val="auto"/>
                <w:kern w:val="0"/>
                <w:sz w:val="18"/>
                <w:szCs w:val="18"/>
              </w:rPr>
              <w:t>I</w:t>
            </w:r>
          </w:p>
        </w:tc>
        <w:tc>
          <w:tcPr>
            <w:tcW w:w="665" w:type="dxa"/>
            <w:vAlign w:val="center"/>
          </w:tcPr>
          <w:p>
            <w:pPr>
              <w:pStyle w:val="32"/>
              <w:adjustRightInd w:val="0"/>
              <w:snapToGrid w:val="0"/>
              <w:spacing w:line="300" w:lineRule="auto"/>
              <w:ind w:firstLine="0" w:firstLineChars="0"/>
              <w:jc w:val="center"/>
              <w:rPr>
                <w:color w:val="auto"/>
                <w:kern w:val="0"/>
                <w:sz w:val="18"/>
                <w:szCs w:val="18"/>
              </w:rPr>
            </w:pPr>
            <w:r>
              <w:rPr>
                <w:rFonts w:hint="eastAsia"/>
                <w:color w:val="auto"/>
                <w:kern w:val="0"/>
                <w:sz w:val="18"/>
                <w:szCs w:val="18"/>
              </w:rPr>
              <w:t>N</w:t>
            </w:r>
            <w:r>
              <w:rPr>
                <w:color w:val="auto"/>
                <w:kern w:val="0"/>
                <w:sz w:val="18"/>
                <w:szCs w:val="18"/>
              </w:rPr>
              <w:t>I</w:t>
            </w:r>
          </w:p>
        </w:tc>
        <w:tc>
          <w:tcPr>
            <w:tcW w:w="645" w:type="dxa"/>
            <w:vAlign w:val="center"/>
          </w:tcPr>
          <w:p>
            <w:pPr>
              <w:pStyle w:val="32"/>
              <w:adjustRightInd w:val="0"/>
              <w:snapToGrid w:val="0"/>
              <w:spacing w:line="300" w:lineRule="auto"/>
              <w:ind w:firstLine="0" w:firstLineChars="0"/>
              <w:jc w:val="center"/>
              <w:rPr>
                <w:color w:val="auto"/>
                <w:kern w:val="0"/>
                <w:sz w:val="18"/>
                <w:szCs w:val="18"/>
              </w:rPr>
            </w:pPr>
            <w:r>
              <w:rPr>
                <w:rFonts w:hint="eastAsia"/>
                <w:color w:val="auto"/>
                <w:kern w:val="0"/>
                <w:sz w:val="18"/>
                <w:szCs w:val="18"/>
              </w:rPr>
              <w:t>N</w:t>
            </w:r>
            <w:r>
              <w:rPr>
                <w:color w:val="auto"/>
                <w:kern w:val="0"/>
                <w:sz w:val="18"/>
                <w:szCs w:val="18"/>
              </w:rPr>
              <w:t>I</w:t>
            </w:r>
          </w:p>
        </w:tc>
      </w:tr>
    </w:tbl>
    <w:p>
      <w:pPr>
        <w:pStyle w:val="32"/>
        <w:ind w:firstLine="0" w:firstLineChars="0"/>
        <w:jc w:val="center"/>
        <w:rPr>
          <w:color w:val="auto"/>
        </w:rPr>
      </w:pPr>
    </w:p>
    <w:p>
      <w:pPr>
        <w:pStyle w:val="32"/>
        <w:ind w:firstLine="0" w:firstLineChars="0"/>
        <w:rPr>
          <w:color w:val="auto"/>
        </w:rPr>
      </w:pPr>
      <w:r>
        <w:rPr>
          <w:color w:val="auto"/>
        </w:rPr>
        <w:t xml:space="preserve">    </w:t>
      </w:r>
      <w:r>
        <w:rPr>
          <w:rFonts w:hint="eastAsia"/>
          <w:color w:val="auto"/>
        </w:rPr>
        <w:t>考虑到国家和地区之间的地域差异导致的医疗废物种类、成分的不同，欧盟BAT的项目参数仅作为本标准的参考之一，具体还需根据项目的外部环境条件、医疗废物性质等做合适的烟气净化工艺组合选择。</w:t>
      </w:r>
    </w:p>
    <w:p>
      <w:pPr>
        <w:pStyle w:val="32"/>
        <w:ind w:firstLine="480" w:firstLineChars="0"/>
        <w:rPr>
          <w:color w:val="auto"/>
        </w:rPr>
      </w:pPr>
      <w:r>
        <w:rPr>
          <w:rFonts w:hint="eastAsia"/>
          <w:color w:val="auto"/>
        </w:rPr>
        <w:t>标准条文5.8.</w:t>
      </w:r>
      <w:r>
        <w:rPr>
          <w:color w:val="auto"/>
        </w:rPr>
        <w:t>4</w:t>
      </w:r>
      <w:r>
        <w:rPr>
          <w:rFonts w:hint="eastAsia"/>
          <w:color w:val="auto"/>
        </w:rPr>
        <w:t>规定了医疗废物等离子体集中</w:t>
      </w:r>
      <w:r>
        <w:rPr>
          <w:rFonts w:hint="eastAsia"/>
          <w:color w:val="auto"/>
          <w:lang w:val="en-US" w:eastAsia="zh-CN"/>
        </w:rPr>
        <w:t>处理</w:t>
      </w:r>
      <w:r>
        <w:rPr>
          <w:rFonts w:hint="eastAsia"/>
          <w:color w:val="auto"/>
        </w:rPr>
        <w:t>处置设施应按规定设置在线监测系统，排气筒应符合</w:t>
      </w:r>
      <w:r>
        <w:rPr>
          <w:color w:val="auto"/>
        </w:rPr>
        <w:t>GB 39707的相关要求，并按GB/T 16157要求设置永久采样孔</w:t>
      </w:r>
      <w:r>
        <w:rPr>
          <w:rFonts w:hint="eastAsia"/>
          <w:color w:val="auto"/>
        </w:rPr>
        <w:t>。</w:t>
      </w:r>
    </w:p>
    <w:p>
      <w:pPr>
        <w:pStyle w:val="4"/>
        <w:rPr>
          <w:color w:val="auto"/>
        </w:rPr>
      </w:pPr>
      <w:bookmarkStart w:id="70" w:name="_Toc11551"/>
      <w:r>
        <w:rPr>
          <w:rFonts w:hint="eastAsia"/>
          <w:color w:val="auto"/>
        </w:rPr>
        <w:t>废水处理系统</w:t>
      </w:r>
      <w:bookmarkEnd w:id="70"/>
    </w:p>
    <w:p>
      <w:pPr>
        <w:pStyle w:val="32"/>
        <w:ind w:firstLine="480"/>
        <w:rPr>
          <w:color w:val="auto"/>
        </w:rPr>
      </w:pPr>
      <w:r>
        <w:rPr>
          <w:color w:val="auto"/>
        </w:rPr>
        <w:t>标准条文</w:t>
      </w:r>
      <w:r>
        <w:rPr>
          <w:rFonts w:hint="eastAsia"/>
          <w:color w:val="auto"/>
        </w:rPr>
        <w:t>5</w:t>
      </w:r>
      <w:r>
        <w:rPr>
          <w:color w:val="auto"/>
        </w:rPr>
        <w:t>.</w:t>
      </w:r>
      <w:r>
        <w:rPr>
          <w:rFonts w:hint="eastAsia"/>
          <w:color w:val="auto"/>
        </w:rPr>
        <w:t>9</w:t>
      </w:r>
      <w:r>
        <w:rPr>
          <w:color w:val="auto"/>
        </w:rPr>
        <w:t>提出了</w:t>
      </w:r>
      <w:r>
        <w:rPr>
          <w:rFonts w:hint="eastAsia"/>
          <w:color w:val="auto"/>
          <w:lang w:eastAsia="zh-CN"/>
        </w:rPr>
        <w:t>医疗废物等离子体集中处理处置工程</w:t>
      </w:r>
      <w:r>
        <w:rPr>
          <w:color w:val="auto"/>
        </w:rPr>
        <w:t>废水处理系统的通用性要求。</w:t>
      </w:r>
    </w:p>
    <w:p>
      <w:pPr>
        <w:pStyle w:val="32"/>
        <w:ind w:firstLine="480"/>
        <w:rPr>
          <w:rFonts w:hint="eastAsia"/>
          <w:color w:val="auto"/>
        </w:rPr>
      </w:pPr>
      <w:r>
        <w:rPr>
          <w:rFonts w:hint="eastAsia"/>
          <w:color w:val="auto"/>
        </w:rPr>
        <w:t>标准条文5.9.1</w:t>
      </w:r>
      <w:r>
        <w:rPr>
          <w:rFonts w:hint="eastAsia"/>
          <w:color w:val="auto"/>
          <w:lang w:val="en-US" w:eastAsia="zh-CN"/>
        </w:rPr>
        <w:t>规定了</w:t>
      </w:r>
      <w:r>
        <w:rPr>
          <w:rFonts w:hint="eastAsia"/>
          <w:color w:val="auto"/>
        </w:rPr>
        <w:t>医疗废物等离子体集中</w:t>
      </w:r>
      <w:r>
        <w:rPr>
          <w:rFonts w:hint="eastAsia"/>
          <w:color w:val="auto"/>
          <w:lang w:val="en-US" w:eastAsia="zh-CN"/>
        </w:rPr>
        <w:t>处理</w:t>
      </w:r>
      <w:r>
        <w:rPr>
          <w:rFonts w:hint="eastAsia"/>
          <w:color w:val="auto"/>
        </w:rPr>
        <w:t>处置工程产生的废水主要为工艺废水、清洗消毒废水以及生活污水等</w:t>
      </w:r>
      <w:r>
        <w:rPr>
          <w:rFonts w:hint="eastAsia"/>
          <w:color w:val="auto"/>
          <w:lang w:eastAsia="zh-CN"/>
        </w:rPr>
        <w:t>，</w:t>
      </w:r>
      <w:r>
        <w:rPr>
          <w:rFonts w:hint="eastAsia"/>
          <w:color w:val="auto"/>
        </w:rPr>
        <w:t>工艺废水主要包括烟气净化系统废水、</w:t>
      </w:r>
      <w:r>
        <w:rPr>
          <w:rFonts w:hint="eastAsia"/>
          <w:color w:val="auto"/>
          <w:lang w:val="en-US" w:eastAsia="zh-CN"/>
        </w:rPr>
        <w:t>余热利用系统废水、</w:t>
      </w:r>
      <w:r>
        <w:rPr>
          <w:rFonts w:hint="eastAsia"/>
          <w:color w:val="auto"/>
        </w:rPr>
        <w:t>事故废水等</w:t>
      </w:r>
      <w:r>
        <w:rPr>
          <w:rFonts w:hint="eastAsia"/>
          <w:color w:val="auto"/>
          <w:lang w:eastAsia="zh-CN"/>
        </w:rPr>
        <w:t>。</w:t>
      </w:r>
    </w:p>
    <w:p>
      <w:pPr>
        <w:pStyle w:val="32"/>
        <w:ind w:firstLine="480"/>
        <w:rPr>
          <w:color w:val="auto"/>
        </w:rPr>
      </w:pPr>
      <w:r>
        <w:rPr>
          <w:rFonts w:hint="eastAsia"/>
          <w:color w:val="auto"/>
        </w:rPr>
        <w:t>标准条文5.9.</w:t>
      </w:r>
      <w:r>
        <w:rPr>
          <w:rFonts w:hint="eastAsia"/>
          <w:color w:val="auto"/>
          <w:lang w:val="en-US" w:eastAsia="zh-CN"/>
        </w:rPr>
        <w:t>2</w:t>
      </w:r>
      <w:r>
        <w:rPr>
          <w:rFonts w:hint="eastAsia"/>
          <w:color w:val="auto"/>
        </w:rPr>
        <w:t>规定了</w:t>
      </w:r>
      <w:r>
        <w:rPr>
          <w:rFonts w:hint="eastAsia"/>
          <w:color w:val="auto"/>
          <w:lang w:eastAsia="zh-CN"/>
        </w:rPr>
        <w:t>集中处理处置工程</w:t>
      </w:r>
      <w:r>
        <w:rPr>
          <w:rFonts w:hint="eastAsia"/>
          <w:color w:val="auto"/>
        </w:rPr>
        <w:t>的工艺废水、清洗消毒废水和初期雨水、生活污水宜</w:t>
      </w:r>
      <w:r>
        <w:rPr>
          <w:rFonts w:hint="eastAsia" w:ascii="Times New Roman"/>
          <w:color w:val="auto"/>
          <w:lang w:val="en-US" w:eastAsia="zh-CN"/>
        </w:rPr>
        <w:t>分类收集、分质处理、分级回用</w:t>
      </w:r>
      <w:r>
        <w:rPr>
          <w:rFonts w:hint="eastAsia"/>
          <w:color w:val="auto"/>
        </w:rPr>
        <w:t>。根据实际生产运行情况，不同的废水流股其污染物种类不同，需要采取的处理工艺也相应不同。如：</w:t>
      </w:r>
    </w:p>
    <w:p>
      <w:pPr>
        <w:pStyle w:val="32"/>
        <w:ind w:firstLine="480"/>
        <w:rPr>
          <w:rFonts w:hint="default" w:eastAsia="宋体"/>
          <w:color w:val="auto"/>
          <w:lang w:val="en-US" w:eastAsia="zh-CN"/>
        </w:rPr>
      </w:pPr>
      <w:r>
        <w:rPr>
          <w:rFonts w:hint="eastAsia"/>
          <w:color w:val="auto"/>
        </w:rPr>
        <w:t>（1）烟气净化工艺废水主要包括烟气净化系统产生的废水、事故废水等，主要污染物指标为</w:t>
      </w:r>
      <w:r>
        <w:rPr>
          <w:color w:val="auto"/>
        </w:rPr>
        <w:t>pH、悬浮物、氯化物、硫酸盐、重金属等</w:t>
      </w:r>
      <w:r>
        <w:rPr>
          <w:rFonts w:hint="eastAsia"/>
          <w:color w:val="auto"/>
          <w:lang w:eastAsia="zh-CN"/>
        </w:rPr>
        <w:t>；</w:t>
      </w:r>
      <w:r>
        <w:rPr>
          <w:rFonts w:hint="eastAsia"/>
          <w:color w:val="auto"/>
          <w:lang w:val="en-US" w:eastAsia="zh-CN"/>
        </w:rPr>
        <w:t>余热利用系统废水主要为锅炉废水。</w:t>
      </w:r>
    </w:p>
    <w:p>
      <w:pPr>
        <w:pStyle w:val="32"/>
        <w:ind w:firstLine="480"/>
        <w:rPr>
          <w:color w:val="auto"/>
        </w:rPr>
      </w:pPr>
      <w:r>
        <w:rPr>
          <w:rFonts w:hint="eastAsia"/>
          <w:color w:val="auto"/>
        </w:rPr>
        <w:t>（2）清洗消毒废水</w:t>
      </w:r>
      <w:r>
        <w:rPr>
          <w:color w:val="auto"/>
        </w:rPr>
        <w:t>主要包括</w:t>
      </w:r>
      <w:r>
        <w:rPr>
          <w:rFonts w:hint="eastAsia"/>
          <w:color w:val="auto"/>
        </w:rPr>
        <w:t>医疗废物</w:t>
      </w:r>
      <w:r>
        <w:rPr>
          <w:color w:val="auto"/>
        </w:rPr>
        <w:t>周转箱和</w:t>
      </w:r>
      <w:r>
        <w:rPr>
          <w:rFonts w:hint="eastAsia"/>
          <w:color w:val="auto"/>
        </w:rPr>
        <w:t>转运车</w:t>
      </w:r>
      <w:r>
        <w:rPr>
          <w:color w:val="auto"/>
        </w:rPr>
        <w:t>清洗消毒废水、卸</w:t>
      </w:r>
      <w:r>
        <w:rPr>
          <w:rFonts w:hint="eastAsia"/>
          <w:color w:val="auto"/>
        </w:rPr>
        <w:t>料区和</w:t>
      </w:r>
      <w:r>
        <w:rPr>
          <w:color w:val="auto"/>
        </w:rPr>
        <w:t>暂存</w:t>
      </w:r>
      <w:r>
        <w:rPr>
          <w:rFonts w:hint="eastAsia"/>
          <w:color w:val="auto"/>
        </w:rPr>
        <w:t>区等</w:t>
      </w:r>
      <w:r>
        <w:rPr>
          <w:color w:val="auto"/>
        </w:rPr>
        <w:t>场地</w:t>
      </w:r>
      <w:r>
        <w:rPr>
          <w:rFonts w:hint="eastAsia"/>
          <w:color w:val="auto"/>
        </w:rPr>
        <w:t>以及设备的清洗消毒</w:t>
      </w:r>
      <w:r>
        <w:rPr>
          <w:color w:val="auto"/>
        </w:rPr>
        <w:t>废水</w:t>
      </w:r>
      <w:r>
        <w:rPr>
          <w:rFonts w:hint="eastAsia"/>
          <w:color w:val="auto"/>
        </w:rPr>
        <w:t>、初期雨水等。</w:t>
      </w:r>
      <w:r>
        <w:rPr>
          <w:color w:val="auto"/>
        </w:rPr>
        <w:t>主要污染物指标为pH、悬浮物、</w:t>
      </w:r>
      <w:bookmarkStart w:id="71" w:name="_Hlk102852478"/>
      <w:r>
        <w:rPr>
          <w:color w:val="auto"/>
        </w:rPr>
        <w:t>化学需氧量、五日生化需氧量、氨氮、余氯、粪大肠菌</w:t>
      </w:r>
      <w:bookmarkEnd w:id="71"/>
      <w:r>
        <w:rPr>
          <w:color w:val="auto"/>
        </w:rPr>
        <w:t>群数等。</w:t>
      </w:r>
    </w:p>
    <w:p>
      <w:pPr>
        <w:pStyle w:val="32"/>
        <w:ind w:firstLine="480"/>
        <w:rPr>
          <w:color w:val="auto"/>
        </w:rPr>
      </w:pPr>
      <w:r>
        <w:rPr>
          <w:rFonts w:hint="eastAsia"/>
          <w:color w:val="auto"/>
        </w:rPr>
        <w:t>（3）生活污水主要来源于厂内人员日常生活，主要污染物指标为</w:t>
      </w:r>
      <w:r>
        <w:rPr>
          <w:color w:val="auto"/>
        </w:rPr>
        <w:t>pH、悬浮物、五日生化需氧量、化学需氧量、氨氮、总磷等。</w:t>
      </w:r>
    </w:p>
    <w:p>
      <w:pPr>
        <w:pStyle w:val="32"/>
        <w:ind w:firstLine="480"/>
        <w:rPr>
          <w:rFonts w:hint="eastAsia"/>
          <w:color w:val="auto"/>
        </w:rPr>
      </w:pPr>
      <w:r>
        <w:rPr>
          <w:rFonts w:hint="eastAsia"/>
          <w:color w:val="auto"/>
        </w:rPr>
        <w:t>针对废水的处理和去向，回用于生产的应符合GB/T 19923的要求</w:t>
      </w:r>
      <w:r>
        <w:rPr>
          <w:rFonts w:hint="eastAsia"/>
          <w:color w:val="auto"/>
          <w:lang w:eastAsia="zh-CN"/>
        </w:rPr>
        <w:t>，</w:t>
      </w:r>
      <w:r>
        <w:rPr>
          <w:rFonts w:hint="eastAsia"/>
          <w:color w:val="auto"/>
        </w:rPr>
        <w:t>回用于清洗消毒等环节的应符合GB/T 18920要求</w:t>
      </w:r>
      <w:r>
        <w:rPr>
          <w:rFonts w:hint="eastAsia"/>
          <w:color w:val="auto"/>
          <w:lang w:eastAsia="zh-CN"/>
        </w:rPr>
        <w:t>。</w:t>
      </w:r>
    </w:p>
    <w:p>
      <w:pPr>
        <w:pStyle w:val="32"/>
        <w:ind w:firstLine="480" w:firstLineChars="0"/>
        <w:rPr>
          <w:color w:val="auto"/>
        </w:rPr>
      </w:pPr>
      <w:r>
        <w:rPr>
          <w:rFonts w:hint="eastAsia"/>
          <w:color w:val="auto"/>
        </w:rPr>
        <w:t>5.9.</w:t>
      </w:r>
      <w:r>
        <w:rPr>
          <w:rFonts w:hint="eastAsia"/>
          <w:color w:val="auto"/>
          <w:lang w:val="en-US" w:eastAsia="zh-CN"/>
        </w:rPr>
        <w:t>2</w:t>
      </w:r>
      <w:r>
        <w:rPr>
          <w:rFonts w:hint="eastAsia"/>
          <w:color w:val="auto"/>
        </w:rPr>
        <w:t>规定了废水处理系统产生的污泥可入炉处置。</w:t>
      </w:r>
    </w:p>
    <w:p>
      <w:pPr>
        <w:pStyle w:val="32"/>
        <w:ind w:firstLine="480"/>
        <w:rPr>
          <w:color w:val="auto"/>
        </w:rPr>
      </w:pPr>
      <w:r>
        <w:rPr>
          <w:rFonts w:hint="eastAsia"/>
          <w:color w:val="auto"/>
        </w:rPr>
        <w:t>根据</w:t>
      </w:r>
      <w:r>
        <w:rPr>
          <w:rFonts w:hint="eastAsia"/>
          <w:color w:val="auto"/>
          <w:lang w:eastAsia="zh-CN"/>
        </w:rPr>
        <w:t>集中处理处置工程</w:t>
      </w:r>
      <w:r>
        <w:rPr>
          <w:rFonts w:hint="eastAsia"/>
          <w:color w:val="auto"/>
        </w:rPr>
        <w:t>的实际情况及工艺设计方案，工艺废水处理设施的出水可考虑回用，回用于生产的应符合《城市污水再生利用 工业用水水质》（GB</w:t>
      </w:r>
      <w:r>
        <w:rPr>
          <w:color w:val="auto"/>
        </w:rPr>
        <w:t>/T 19923</w:t>
      </w:r>
      <w:r>
        <w:rPr>
          <w:rFonts w:hint="eastAsia"/>
          <w:color w:val="auto"/>
        </w:rPr>
        <w:t>）的要求。根据该标准第四章技术内容要求，“再生水用作冷却用水、洗涤用水、锅炉补给水、工艺与产品用水等不同用途时，需分别满足其相应的水质标准”；“对于以城市污水为水源的再生水，除应满足表1各项指标外，其化学毒理学指标还应符合GB18918中‘一类污染物’和‘选择控制项目’各项指标限值的规定”。工艺废水的处理工艺以去除pH、SS、氯化物、硫酸盐、重金属等污染物为主要目的。</w:t>
      </w:r>
    </w:p>
    <w:p>
      <w:pPr>
        <w:pStyle w:val="32"/>
        <w:ind w:firstLine="480"/>
        <w:rPr>
          <w:color w:val="auto"/>
        </w:rPr>
      </w:pPr>
      <w:r>
        <w:rPr>
          <w:rFonts w:hint="eastAsia"/>
          <w:color w:val="auto"/>
        </w:rPr>
        <w:t>清洗消毒废水处理工艺</w:t>
      </w:r>
      <w:r>
        <w:rPr>
          <w:color w:val="auto"/>
        </w:rPr>
        <w:t>应根据废水水质特点、处理后的去向等因素，采用二级处理或三级处理工艺</w:t>
      </w:r>
      <w:r>
        <w:rPr>
          <w:rFonts w:hint="eastAsia"/>
          <w:color w:val="auto"/>
        </w:rPr>
        <w:t>并设置消毒单元，</w:t>
      </w:r>
      <w:r>
        <w:rPr>
          <w:color w:val="auto"/>
        </w:rPr>
        <w:t>工艺设计</w:t>
      </w:r>
      <w:r>
        <w:rPr>
          <w:rFonts w:hint="eastAsia"/>
          <w:color w:val="auto"/>
        </w:rPr>
        <w:t>可</w:t>
      </w:r>
      <w:r>
        <w:rPr>
          <w:color w:val="auto"/>
        </w:rPr>
        <w:t>参见</w:t>
      </w:r>
      <w:r>
        <w:rPr>
          <w:rFonts w:hint="eastAsia"/>
          <w:color w:val="auto"/>
        </w:rPr>
        <w:t>《</w:t>
      </w:r>
      <w:r>
        <w:rPr>
          <w:color w:val="auto"/>
        </w:rPr>
        <w:t>医院污水处理工程技术规范</w:t>
      </w:r>
      <w:r>
        <w:rPr>
          <w:rFonts w:hint="eastAsia"/>
          <w:color w:val="auto"/>
        </w:rPr>
        <w:t>》（</w:t>
      </w:r>
      <w:r>
        <w:rPr>
          <w:rFonts w:hAnsi="宋体"/>
          <w:color w:val="auto"/>
        </w:rPr>
        <w:t>HJ 2029</w:t>
      </w:r>
      <w:r>
        <w:rPr>
          <w:rFonts w:hint="eastAsia" w:hAnsi="宋体"/>
          <w:color w:val="auto"/>
        </w:rPr>
        <w:t>）</w:t>
      </w:r>
      <w:r>
        <w:rPr>
          <w:rFonts w:hint="eastAsia"/>
          <w:color w:val="auto"/>
        </w:rPr>
        <w:t>。清洗消毒废水的处理工艺以去除pH、SS、</w:t>
      </w:r>
      <w:r>
        <w:rPr>
          <w:color w:val="auto"/>
        </w:rPr>
        <w:t>化学需氧量、五日生化需氧量、氨氮、余氯、粪大肠菌</w:t>
      </w:r>
      <w:r>
        <w:rPr>
          <w:rFonts w:hint="eastAsia"/>
          <w:color w:val="auto"/>
        </w:rPr>
        <w:t>等污染物为主要目的。主要工艺流程如下图所示。</w:t>
      </w:r>
    </w:p>
    <w:p>
      <w:pPr>
        <w:pStyle w:val="32"/>
        <w:ind w:firstLine="0" w:firstLineChars="0"/>
        <w:rPr>
          <w:color w:val="auto"/>
        </w:rPr>
      </w:pPr>
      <w:r>
        <w:rPr>
          <w:color w:val="auto"/>
        </w:rPr>
        <w:drawing>
          <wp:inline distT="0" distB="0" distL="0" distR="0">
            <wp:extent cx="5274310" cy="2565400"/>
            <wp:effectExtent l="0" t="0" r="254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7"/>
                    <a:stretch>
                      <a:fillRect/>
                    </a:stretch>
                  </pic:blipFill>
                  <pic:spPr>
                    <a:xfrm>
                      <a:off x="0" y="0"/>
                      <a:ext cx="5274310" cy="2565400"/>
                    </a:xfrm>
                    <a:prstGeom prst="rect">
                      <a:avLst/>
                    </a:prstGeom>
                  </pic:spPr>
                </pic:pic>
              </a:graphicData>
            </a:graphic>
          </wp:inline>
        </w:drawing>
      </w:r>
    </w:p>
    <w:p>
      <w:pPr>
        <w:pStyle w:val="5"/>
        <w:numPr>
          <w:ilvl w:val="0"/>
          <w:numId w:val="10"/>
        </w:numPr>
        <w:spacing w:line="336" w:lineRule="auto"/>
        <w:rPr>
          <w:rFonts w:eastAsia="宋体" w:cs="Times New Roman"/>
          <w:color w:val="auto"/>
          <w:kern w:val="0"/>
          <w:szCs w:val="21"/>
        </w:rPr>
      </w:pPr>
      <w:r>
        <w:rPr>
          <w:rFonts w:hint="eastAsia" w:eastAsia="宋体" w:cs="Times New Roman"/>
          <w:color w:val="auto"/>
          <w:kern w:val="0"/>
          <w:szCs w:val="21"/>
        </w:rPr>
        <w:t>清洗消毒废水处理工艺流程</w:t>
      </w:r>
    </w:p>
    <w:p>
      <w:pPr>
        <w:pStyle w:val="32"/>
        <w:ind w:firstLine="480" w:firstLineChars="0"/>
        <w:rPr>
          <w:color w:val="auto"/>
        </w:rPr>
      </w:pPr>
      <w:r>
        <w:rPr>
          <w:rFonts w:hint="eastAsia"/>
          <w:color w:val="auto"/>
        </w:rPr>
        <w:t>根据</w:t>
      </w:r>
      <w:r>
        <w:rPr>
          <w:rFonts w:hint="eastAsia"/>
          <w:color w:val="auto"/>
          <w:lang w:eastAsia="zh-CN"/>
        </w:rPr>
        <w:t>集中处理处置工程</w:t>
      </w:r>
      <w:r>
        <w:rPr>
          <w:rFonts w:hint="eastAsia"/>
          <w:color w:val="auto"/>
        </w:rPr>
        <w:t>的实际情况及工艺设计方案，清洗消毒废水处理设施的出水宜优先回用，回用于生产的应符合《城市污水再生利用 工业用水水质》（GB</w:t>
      </w:r>
      <w:r>
        <w:rPr>
          <w:color w:val="auto"/>
        </w:rPr>
        <w:t>/T 19923</w:t>
      </w:r>
      <w:r>
        <w:rPr>
          <w:rFonts w:hint="eastAsia"/>
          <w:color w:val="auto"/>
        </w:rPr>
        <w:t>）相关要求，回用于清洗消毒等环节的应符合《城市污水再生利用 城市杂用水水质》（GB/</w:t>
      </w:r>
      <w:r>
        <w:rPr>
          <w:color w:val="auto"/>
        </w:rPr>
        <w:t>T 18920</w:t>
      </w:r>
      <w:r>
        <w:rPr>
          <w:rFonts w:hint="eastAsia"/>
          <w:color w:val="auto"/>
        </w:rPr>
        <w:t>）相关要求。根据该标准的术语定义，城市杂用水是指用于冲厕、车辆冲洗、城市绿化、道路清扫、消防、建筑施工等非饮用水的再生水，清洗消毒废水经处理后的出水，可以再回用于医疗废物转运车辆、周转箱（桶）的清洗以及厂内绿化、消防用水等。</w:t>
      </w:r>
    </w:p>
    <w:p>
      <w:pPr>
        <w:pStyle w:val="32"/>
        <w:ind w:firstLine="480" w:firstLineChars="0"/>
        <w:rPr>
          <w:rFonts w:hint="eastAsia"/>
          <w:color w:val="auto"/>
        </w:rPr>
      </w:pPr>
      <w:r>
        <w:rPr>
          <w:rFonts w:hint="eastAsia"/>
          <w:color w:val="auto"/>
        </w:rPr>
        <w:t>生活污水的处理方式，宜</w:t>
      </w:r>
      <w:r>
        <w:rPr>
          <w:color w:val="auto"/>
        </w:rPr>
        <w:t>排入市政管网，或单独收集、单独处理，不得与</w:t>
      </w:r>
      <w:r>
        <w:rPr>
          <w:rFonts w:hint="eastAsia"/>
          <w:color w:val="auto"/>
        </w:rPr>
        <w:t>工艺废水、清洗消毒废水</w:t>
      </w:r>
      <w:r>
        <w:rPr>
          <w:color w:val="auto"/>
        </w:rPr>
        <w:t>混合收集、处理</w:t>
      </w:r>
      <w:r>
        <w:rPr>
          <w:rFonts w:hint="eastAsia"/>
          <w:color w:val="auto"/>
        </w:rPr>
        <w:t>。</w:t>
      </w:r>
    </w:p>
    <w:p>
      <w:pPr>
        <w:pStyle w:val="4"/>
        <w:rPr>
          <w:rFonts w:hint="eastAsia"/>
          <w:color w:val="auto"/>
        </w:rPr>
      </w:pPr>
      <w:bookmarkStart w:id="72" w:name="_Toc442"/>
      <w:r>
        <w:rPr>
          <w:rFonts w:hint="eastAsia"/>
          <w:color w:val="auto"/>
          <w:lang w:val="en-US" w:eastAsia="zh-CN"/>
        </w:rPr>
        <w:t>自动控制系统</w:t>
      </w:r>
      <w:bookmarkEnd w:id="72"/>
    </w:p>
    <w:p>
      <w:pPr>
        <w:pStyle w:val="32"/>
        <w:ind w:firstLine="480"/>
        <w:rPr>
          <w:color w:val="auto"/>
        </w:rPr>
      </w:pPr>
      <w:r>
        <w:rPr>
          <w:color w:val="auto"/>
        </w:rPr>
        <w:t>标准条文</w:t>
      </w:r>
      <w:r>
        <w:rPr>
          <w:rFonts w:hint="eastAsia"/>
          <w:color w:val="auto"/>
        </w:rPr>
        <w:t>5</w:t>
      </w:r>
      <w:r>
        <w:rPr>
          <w:color w:val="auto"/>
        </w:rPr>
        <w:t>.</w:t>
      </w:r>
      <w:r>
        <w:rPr>
          <w:rFonts w:hint="eastAsia"/>
          <w:color w:val="auto"/>
          <w:lang w:val="en-US" w:eastAsia="zh-CN"/>
        </w:rPr>
        <w:t>10</w:t>
      </w:r>
      <w:r>
        <w:rPr>
          <w:color w:val="auto"/>
        </w:rPr>
        <w:t>提出了医疗废物等离子体集中</w:t>
      </w:r>
      <w:r>
        <w:rPr>
          <w:rFonts w:hint="eastAsia"/>
          <w:color w:val="auto"/>
          <w:lang w:val="en-US" w:eastAsia="zh-CN"/>
        </w:rPr>
        <w:t>处理</w:t>
      </w:r>
      <w:r>
        <w:rPr>
          <w:color w:val="auto"/>
        </w:rPr>
        <w:t>处置</w:t>
      </w:r>
      <w:r>
        <w:rPr>
          <w:rFonts w:hint="eastAsia"/>
          <w:color w:val="auto"/>
          <w:lang w:val="en-US" w:eastAsia="zh-CN"/>
        </w:rPr>
        <w:t>工程自动控制</w:t>
      </w:r>
      <w:r>
        <w:rPr>
          <w:color w:val="auto"/>
        </w:rPr>
        <w:t>系统的通用性要求。</w:t>
      </w:r>
    </w:p>
    <w:p>
      <w:pPr>
        <w:pStyle w:val="32"/>
        <w:ind w:firstLine="480"/>
        <w:rPr>
          <w:rFonts w:hint="eastAsia"/>
          <w:color w:val="auto"/>
        </w:rPr>
      </w:pPr>
      <w:r>
        <w:rPr>
          <w:rFonts w:hint="eastAsia"/>
          <w:color w:val="auto"/>
        </w:rPr>
        <w:t>医疗废物等离子体</w:t>
      </w:r>
      <w:r>
        <w:rPr>
          <w:rFonts w:hint="eastAsia"/>
          <w:color w:val="auto"/>
          <w:lang w:val="en-US" w:eastAsia="zh-CN"/>
        </w:rPr>
        <w:t>集中处理</w:t>
      </w:r>
      <w:r>
        <w:rPr>
          <w:rFonts w:hint="eastAsia"/>
          <w:color w:val="auto"/>
        </w:rPr>
        <w:t>处置工程的</w:t>
      </w:r>
      <w:r>
        <w:rPr>
          <w:rFonts w:hint="eastAsia"/>
          <w:color w:val="auto"/>
          <w:lang w:val="en-US" w:eastAsia="zh-CN"/>
        </w:rPr>
        <w:t>自控系统应根据建设</w:t>
      </w:r>
      <w:r>
        <w:rPr>
          <w:rFonts w:hint="eastAsia"/>
          <w:color w:val="auto"/>
        </w:rPr>
        <w:t>规模和各工艺系统的设置情况确定。一般可包括进料控制系统、气化控制系统、等离子体发生器控制系统、烟气净化控制系统、</w:t>
      </w:r>
      <w:r>
        <w:rPr>
          <w:rFonts w:hint="eastAsia"/>
          <w:color w:val="auto"/>
          <w:lang w:val="en-US" w:eastAsia="zh-CN"/>
        </w:rPr>
        <w:t>水处理控制系统、</w:t>
      </w:r>
      <w:r>
        <w:rPr>
          <w:rFonts w:hint="eastAsia"/>
          <w:color w:val="auto"/>
        </w:rPr>
        <w:t>辅助工程控制系统等。</w:t>
      </w:r>
    </w:p>
    <w:p>
      <w:pPr>
        <w:pStyle w:val="32"/>
        <w:ind w:firstLine="480"/>
        <w:rPr>
          <w:rFonts w:hint="eastAsia"/>
          <w:color w:val="auto"/>
        </w:rPr>
      </w:pPr>
      <w:r>
        <w:rPr>
          <w:rFonts w:hint="eastAsia"/>
          <w:color w:val="auto"/>
          <w:lang w:val="en-US" w:eastAsia="zh-CN"/>
        </w:rPr>
        <w:t>集中处理处置工程</w:t>
      </w:r>
      <w:r>
        <w:rPr>
          <w:rFonts w:hint="eastAsia"/>
          <w:color w:val="auto"/>
        </w:rPr>
        <w:t>在中央控制室应通过DCS或PLC等自动控制系统实现对整套系统的集中监视和分散控制，并应设置独立于计算机控制系统的紧急停车系统。</w:t>
      </w:r>
    </w:p>
    <w:p>
      <w:pPr>
        <w:pStyle w:val="32"/>
        <w:ind w:firstLine="480"/>
        <w:rPr>
          <w:rFonts w:hint="eastAsia"/>
          <w:color w:val="auto"/>
        </w:rPr>
      </w:pPr>
      <w:r>
        <w:rPr>
          <w:rFonts w:hint="eastAsia"/>
          <w:color w:val="auto"/>
          <w:lang w:val="en-US" w:eastAsia="zh-CN"/>
        </w:rPr>
        <w:t>自动</w:t>
      </w:r>
      <w:r>
        <w:rPr>
          <w:rFonts w:hint="eastAsia"/>
          <w:color w:val="auto"/>
        </w:rPr>
        <w:t>控制系统应能根据在线监测污染物数据对各处置设备的运行参数进行调节与控制。</w:t>
      </w:r>
    </w:p>
    <w:p>
      <w:pPr>
        <w:pStyle w:val="32"/>
        <w:ind w:firstLine="480"/>
        <w:rPr>
          <w:color w:val="auto"/>
          <w:kern w:val="0"/>
          <w:szCs w:val="21"/>
        </w:rPr>
      </w:pPr>
      <w:r>
        <w:rPr>
          <w:rFonts w:hint="eastAsia"/>
          <w:color w:val="auto"/>
          <w:kern w:val="0"/>
          <w:szCs w:val="21"/>
        </w:rPr>
        <w:t>标准条文</w:t>
      </w:r>
      <w:r>
        <w:rPr>
          <w:color w:val="auto"/>
          <w:kern w:val="0"/>
          <w:szCs w:val="21"/>
        </w:rPr>
        <w:t>5.</w:t>
      </w:r>
      <w:r>
        <w:rPr>
          <w:rFonts w:hint="eastAsia"/>
          <w:color w:val="auto"/>
          <w:kern w:val="0"/>
          <w:szCs w:val="21"/>
          <w:lang w:val="en-US" w:eastAsia="zh-CN"/>
        </w:rPr>
        <w:t>10</w:t>
      </w:r>
      <w:r>
        <w:rPr>
          <w:color w:val="auto"/>
          <w:kern w:val="0"/>
          <w:szCs w:val="21"/>
        </w:rPr>
        <w:t>.4</w:t>
      </w:r>
      <w:r>
        <w:rPr>
          <w:rFonts w:hint="eastAsia"/>
          <w:color w:val="auto"/>
          <w:kern w:val="0"/>
          <w:szCs w:val="21"/>
          <w:lang w:val="en-US" w:eastAsia="zh-CN"/>
        </w:rPr>
        <w:t>特别规定了等离子体发生器系统的</w:t>
      </w:r>
      <w:r>
        <w:rPr>
          <w:rFonts w:hint="eastAsia"/>
          <w:color w:val="auto"/>
        </w:rPr>
        <w:t>自动控制和动力电气系统应独立接地，接地应符合</w:t>
      </w:r>
      <w:r>
        <w:rPr>
          <w:color w:val="auto"/>
        </w:rPr>
        <w:t>GB 50169</w:t>
      </w:r>
      <w:r>
        <w:rPr>
          <w:rFonts w:hint="eastAsia"/>
          <w:color w:val="auto"/>
        </w:rPr>
        <w:t>的要求，并对</w:t>
      </w:r>
      <w:r>
        <w:rPr>
          <w:color w:val="auto"/>
        </w:rPr>
        <w:t>I/O</w:t>
      </w:r>
      <w:r>
        <w:rPr>
          <w:rFonts w:hint="eastAsia"/>
          <w:color w:val="auto"/>
        </w:rPr>
        <w:t>信号宜进行有效隔离</w:t>
      </w:r>
      <w:r>
        <w:rPr>
          <w:color w:val="auto"/>
          <w:kern w:val="0"/>
          <w:szCs w:val="21"/>
        </w:rPr>
        <w:t>。这同样是因为电源和快速波动的负载会对自控系统仪表和通讯造成干扰，导致信号、指令传输错误，严重的导致系统无法正常运行。因此，需通过单独接地，信号回路隔离等措施，最大限度确保自控系统正常运行。</w:t>
      </w:r>
    </w:p>
    <w:p>
      <w:pPr>
        <w:pStyle w:val="3"/>
        <w:rPr>
          <w:color w:val="auto"/>
        </w:rPr>
      </w:pPr>
      <w:bookmarkStart w:id="73" w:name="_Toc109654824"/>
      <w:bookmarkEnd w:id="73"/>
      <w:bookmarkStart w:id="74" w:name="_Toc126078634"/>
      <w:bookmarkEnd w:id="74"/>
      <w:bookmarkStart w:id="75" w:name="_Toc126078633"/>
      <w:bookmarkEnd w:id="75"/>
      <w:bookmarkStart w:id="76" w:name="_Toc126078642"/>
      <w:bookmarkEnd w:id="76"/>
      <w:bookmarkStart w:id="77" w:name="_Toc126078641"/>
      <w:bookmarkEnd w:id="77"/>
      <w:bookmarkStart w:id="78" w:name="_Toc126078630"/>
      <w:bookmarkEnd w:id="78"/>
      <w:bookmarkStart w:id="79" w:name="_Toc126078635"/>
      <w:bookmarkEnd w:id="79"/>
      <w:bookmarkStart w:id="80" w:name="_Toc109654727"/>
      <w:bookmarkEnd w:id="80"/>
      <w:bookmarkStart w:id="81" w:name="_Toc126078631"/>
      <w:bookmarkEnd w:id="81"/>
      <w:bookmarkStart w:id="82" w:name="_Toc109654825"/>
      <w:bookmarkEnd w:id="82"/>
      <w:bookmarkStart w:id="83" w:name="_Toc126078643"/>
      <w:bookmarkEnd w:id="83"/>
      <w:bookmarkStart w:id="84" w:name="_Toc126078638"/>
      <w:bookmarkEnd w:id="84"/>
      <w:bookmarkStart w:id="85" w:name="_Toc109654728"/>
      <w:bookmarkEnd w:id="85"/>
      <w:bookmarkStart w:id="86" w:name="_Toc126078629"/>
      <w:bookmarkEnd w:id="86"/>
      <w:bookmarkStart w:id="87" w:name="_Toc126078637"/>
      <w:bookmarkEnd w:id="87"/>
      <w:bookmarkStart w:id="88" w:name="_Toc126078639"/>
      <w:bookmarkEnd w:id="88"/>
      <w:bookmarkStart w:id="89" w:name="_Toc126078632"/>
      <w:bookmarkEnd w:id="89"/>
      <w:bookmarkStart w:id="90" w:name="_Toc126078640"/>
      <w:bookmarkEnd w:id="90"/>
      <w:bookmarkStart w:id="91" w:name="_Toc16055"/>
      <w:r>
        <w:rPr>
          <w:rFonts w:hint="eastAsia"/>
          <w:color w:val="auto"/>
          <w:lang w:val="en-US" w:eastAsia="zh-CN"/>
        </w:rPr>
        <w:t>环境管理</w:t>
      </w:r>
      <w:r>
        <w:rPr>
          <w:rFonts w:hint="eastAsia"/>
          <w:color w:val="auto"/>
        </w:rPr>
        <w:t>要求</w:t>
      </w:r>
      <w:bookmarkEnd w:id="91"/>
    </w:p>
    <w:p>
      <w:pPr>
        <w:pStyle w:val="32"/>
        <w:ind w:firstLine="480"/>
        <w:rPr>
          <w:color w:val="auto"/>
        </w:rPr>
      </w:pPr>
      <w:r>
        <w:rPr>
          <w:color w:val="auto"/>
        </w:rPr>
        <w:t>标准第</w:t>
      </w:r>
      <w:r>
        <w:rPr>
          <w:rFonts w:hint="eastAsia"/>
          <w:color w:val="auto"/>
        </w:rPr>
        <w:t>六</w:t>
      </w:r>
      <w:r>
        <w:rPr>
          <w:color w:val="auto"/>
        </w:rPr>
        <w:t>章</w:t>
      </w:r>
      <w:r>
        <w:rPr>
          <w:rFonts w:hint="eastAsia"/>
          <w:color w:val="auto"/>
          <w:lang w:val="en-US" w:eastAsia="zh-CN"/>
        </w:rPr>
        <w:t>规定了</w:t>
      </w:r>
      <w:r>
        <w:rPr>
          <w:rFonts w:hint="eastAsia"/>
          <w:color w:val="auto"/>
          <w:lang w:eastAsia="zh-CN"/>
        </w:rPr>
        <w:t>医疗废物等离子体集中处理处置工程</w:t>
      </w:r>
      <w:r>
        <w:rPr>
          <w:rFonts w:hint="eastAsia"/>
          <w:color w:val="auto"/>
        </w:rPr>
        <w:t>废气、废水</w:t>
      </w:r>
      <w:r>
        <w:rPr>
          <w:rFonts w:hint="eastAsia"/>
          <w:color w:val="auto"/>
          <w:lang w:val="en-US" w:eastAsia="zh-CN"/>
        </w:rPr>
        <w:t>的排放控制要求和熔融处理产物的利用技术要求。</w:t>
      </w:r>
      <w:r>
        <w:rPr>
          <w:rFonts w:hint="eastAsia"/>
          <w:color w:val="auto"/>
        </w:rPr>
        <w:t>本章主要为引用现有医疗废物处置相关标准体系中的现行标准要求。</w:t>
      </w:r>
    </w:p>
    <w:p>
      <w:pPr>
        <w:pStyle w:val="32"/>
        <w:ind w:firstLine="480"/>
        <w:rPr>
          <w:color w:val="auto"/>
        </w:rPr>
      </w:pPr>
      <w:r>
        <w:rPr>
          <w:rFonts w:hint="eastAsia"/>
          <w:color w:val="auto"/>
        </w:rPr>
        <w:t>（1）废气</w:t>
      </w:r>
    </w:p>
    <w:p>
      <w:pPr>
        <w:pStyle w:val="32"/>
        <w:ind w:firstLine="480"/>
        <w:rPr>
          <w:color w:val="auto"/>
        </w:rPr>
      </w:pPr>
      <w:r>
        <w:rPr>
          <w:rFonts w:hint="eastAsia"/>
          <w:color w:val="auto"/>
        </w:rPr>
        <w:t>标准条文6.1规定了针对大气污染物的具体排放控制要求，医疗废物等离子体</w:t>
      </w:r>
      <w:r>
        <w:rPr>
          <w:rFonts w:hint="eastAsia"/>
          <w:color w:val="auto"/>
          <w:lang w:val="en-US" w:eastAsia="zh-CN"/>
        </w:rPr>
        <w:t>集中处理</w:t>
      </w:r>
      <w:r>
        <w:rPr>
          <w:rFonts w:hint="eastAsia"/>
          <w:color w:val="auto"/>
        </w:rPr>
        <w:t>处置设施的大气污染物排放应符合GB</w:t>
      </w:r>
      <w:r>
        <w:rPr>
          <w:color w:val="auto"/>
        </w:rPr>
        <w:t xml:space="preserve"> </w:t>
      </w:r>
      <w:r>
        <w:rPr>
          <w:rFonts w:hint="eastAsia"/>
          <w:color w:val="auto"/>
        </w:rPr>
        <w:t>39707的相关要求；</w:t>
      </w:r>
      <w:r>
        <w:rPr>
          <w:rFonts w:hint="eastAsia"/>
          <w:color w:val="auto"/>
          <w:lang w:eastAsia="zh-CN"/>
        </w:rPr>
        <w:t>集中处理处置工程</w:t>
      </w:r>
      <w:r>
        <w:rPr>
          <w:rFonts w:hint="eastAsia"/>
          <w:color w:val="auto"/>
        </w:rPr>
        <w:t>内</w:t>
      </w:r>
      <w:r>
        <w:rPr>
          <w:color w:val="auto"/>
        </w:rPr>
        <w:t>除</w:t>
      </w:r>
      <w:r>
        <w:rPr>
          <w:rFonts w:hint="eastAsia"/>
          <w:color w:val="auto"/>
        </w:rPr>
        <w:t>等离子体处置</w:t>
      </w:r>
      <w:r>
        <w:rPr>
          <w:color w:val="auto"/>
        </w:rPr>
        <w:t>设施外的其他生产设施及厂界的大气污染物排放应符合GB 14554、GB 16297、GB 37822</w:t>
      </w:r>
      <w:r>
        <w:rPr>
          <w:rFonts w:hint="eastAsia"/>
          <w:color w:val="auto"/>
          <w:lang w:eastAsia="zh-CN"/>
        </w:rPr>
        <w:t>、</w:t>
      </w:r>
      <w:r>
        <w:rPr>
          <w:rFonts w:hint="eastAsia"/>
          <w:color w:val="auto"/>
          <w:lang w:val="en-US" w:eastAsia="zh-CN"/>
        </w:rPr>
        <w:t>DB32/ 4041</w:t>
      </w:r>
      <w:r>
        <w:rPr>
          <w:color w:val="auto"/>
        </w:rPr>
        <w:t>的要求。</w:t>
      </w:r>
    </w:p>
    <w:p>
      <w:pPr>
        <w:pStyle w:val="32"/>
        <w:ind w:firstLine="480"/>
        <w:rPr>
          <w:color w:val="auto"/>
        </w:rPr>
      </w:pPr>
      <w:r>
        <w:rPr>
          <w:rFonts w:hint="eastAsia"/>
          <w:color w:val="auto"/>
        </w:rPr>
        <w:t>（2）废水</w:t>
      </w:r>
    </w:p>
    <w:p>
      <w:pPr>
        <w:pStyle w:val="32"/>
        <w:ind w:firstLine="480"/>
        <w:rPr>
          <w:color w:val="auto"/>
        </w:rPr>
      </w:pPr>
      <w:r>
        <w:rPr>
          <w:rFonts w:hint="eastAsia"/>
          <w:color w:val="auto"/>
        </w:rPr>
        <w:t>标准条文6.</w:t>
      </w:r>
      <w:r>
        <w:rPr>
          <w:rFonts w:hint="eastAsia"/>
          <w:color w:val="auto"/>
          <w:lang w:val="en-US" w:eastAsia="zh-CN"/>
        </w:rPr>
        <w:t>2</w:t>
      </w:r>
      <w:r>
        <w:rPr>
          <w:rFonts w:hint="eastAsia"/>
          <w:color w:val="auto"/>
        </w:rPr>
        <w:t>规定了针对废水污染物的具体排放控制要求，</w:t>
      </w:r>
      <w:r>
        <w:rPr>
          <w:rFonts w:hint="eastAsia"/>
          <w:color w:val="auto"/>
          <w:lang w:eastAsia="zh-CN"/>
        </w:rPr>
        <w:t>集中处理处置工程</w:t>
      </w:r>
      <w:r>
        <w:rPr>
          <w:color w:val="auto"/>
        </w:rPr>
        <w:t>清洗消毒废水排放应符合GB 18466规定的综合医疗机构和其他医疗机构水污染物排放要求；</w:t>
      </w:r>
      <w:r>
        <w:rPr>
          <w:rFonts w:hint="eastAsia" w:ascii="宋体" w:hAnsi="宋体"/>
          <w:color w:val="auto"/>
        </w:rPr>
        <w:t>单独收集的</w:t>
      </w:r>
      <w:r>
        <w:rPr>
          <w:rFonts w:ascii="宋体" w:hAnsi="宋体"/>
          <w:color w:val="auto"/>
        </w:rPr>
        <w:t>生活污水</w:t>
      </w:r>
      <w:r>
        <w:rPr>
          <w:rFonts w:hint="eastAsia" w:ascii="宋体" w:hAnsi="宋体"/>
          <w:color w:val="auto"/>
        </w:rPr>
        <w:t>及工艺废水经厂内处理后排放至污水管网的，执行</w:t>
      </w:r>
      <w:r>
        <w:rPr>
          <w:rFonts w:ascii="宋体" w:hAnsi="宋体"/>
          <w:color w:val="auto"/>
        </w:rPr>
        <w:t>GB 8978</w:t>
      </w:r>
      <w:r>
        <w:rPr>
          <w:rFonts w:hint="eastAsia" w:ascii="宋体" w:hAnsi="宋体"/>
          <w:color w:val="auto"/>
        </w:rPr>
        <w:t>规定</w:t>
      </w:r>
      <w:r>
        <w:rPr>
          <w:rFonts w:hint="eastAsia"/>
          <w:color w:val="auto"/>
        </w:rPr>
        <w:t>；</w:t>
      </w:r>
      <w:r>
        <w:rPr>
          <w:color w:val="auto"/>
        </w:rPr>
        <w:t>地方污染物排放执行标准有更严格要求的，从其规定；疫情期间废水排放应符合GB 18466规定的传染病、结核病医疗机构污染物排放要求或疫情期间的相关要求。</w:t>
      </w:r>
    </w:p>
    <w:p>
      <w:pPr>
        <w:pStyle w:val="32"/>
        <w:numPr>
          <w:ilvl w:val="0"/>
          <w:numId w:val="12"/>
        </w:numPr>
        <w:ind w:firstLine="480"/>
        <w:rPr>
          <w:rFonts w:hint="eastAsia"/>
          <w:color w:val="auto"/>
          <w:lang w:val="en-US" w:eastAsia="zh-CN"/>
        </w:rPr>
      </w:pPr>
      <w:bookmarkStart w:id="92" w:name="_Toc9733"/>
      <w:r>
        <w:rPr>
          <w:rFonts w:hint="eastAsia"/>
          <w:color w:val="auto"/>
          <w:lang w:val="en-US" w:eastAsia="zh-CN"/>
        </w:rPr>
        <w:t>熔融处理产物的利用技术要求</w:t>
      </w:r>
      <w:bookmarkEnd w:id="92"/>
    </w:p>
    <w:p>
      <w:pPr>
        <w:pStyle w:val="32"/>
        <w:numPr>
          <w:ilvl w:val="0"/>
          <w:numId w:val="0"/>
        </w:numPr>
        <w:ind w:firstLine="480"/>
        <w:rPr>
          <w:rFonts w:hint="eastAsia"/>
          <w:color w:val="auto"/>
          <w:lang w:val="en-US" w:eastAsia="zh-CN"/>
        </w:rPr>
      </w:pPr>
      <w:r>
        <w:rPr>
          <w:rFonts w:hint="eastAsia"/>
          <w:color w:val="auto"/>
          <w:lang w:val="en-US" w:eastAsia="zh-CN"/>
        </w:rPr>
        <w:t>熔融处理产物是等离子体医疗废物处理处置产生的不同于其它焚烧技术的产物，标准条文6.3针对等离子体医疗废物处理处置产生的熔融处理产物，提出利用技术要求：</w:t>
      </w:r>
    </w:p>
    <w:p>
      <w:pPr>
        <w:pStyle w:val="32"/>
        <w:numPr>
          <w:ilvl w:val="0"/>
          <w:numId w:val="0"/>
        </w:numPr>
        <w:ind w:firstLine="480"/>
        <w:rPr>
          <w:rFonts w:hint="default"/>
          <w:color w:val="auto"/>
          <w:lang w:val="en-US" w:eastAsia="zh-CN"/>
        </w:rPr>
      </w:pPr>
      <w:r>
        <w:rPr>
          <w:rFonts w:hint="default"/>
          <w:color w:val="auto"/>
          <w:lang w:val="en-US" w:eastAsia="zh-CN"/>
        </w:rPr>
        <w:t>集中处理处置工程产生的熔融处理产物符合GB/T 41015-2021 6.3的要求按产品管理</w:t>
      </w:r>
      <w:r>
        <w:rPr>
          <w:rFonts w:hint="eastAsia"/>
          <w:color w:val="auto"/>
          <w:lang w:val="en-US" w:eastAsia="zh-CN"/>
        </w:rPr>
        <w:t>；</w:t>
      </w:r>
      <w:r>
        <w:rPr>
          <w:rFonts w:hint="default"/>
          <w:color w:val="auto"/>
          <w:lang w:val="en-US" w:eastAsia="zh-CN"/>
        </w:rPr>
        <w:t>集中处理处置工程产生的熔融处理产物不符合GB/T 41015-2021 6.3的要求，可重新进行处理或按生态环境主管部门的要求管理</w:t>
      </w:r>
      <w:r>
        <w:rPr>
          <w:rFonts w:hint="eastAsia"/>
          <w:color w:val="auto"/>
          <w:lang w:val="en-US" w:eastAsia="zh-CN"/>
        </w:rPr>
        <w:t>；</w:t>
      </w:r>
      <w:r>
        <w:rPr>
          <w:rFonts w:hint="default"/>
          <w:color w:val="auto"/>
          <w:lang w:val="en-US" w:eastAsia="zh-CN"/>
        </w:rPr>
        <w:t>熔融处理产物资源化利用应符合相应工程技术要求。熔融处理产物用于沥青路面集料应符合DB32/T 4081的要求。</w:t>
      </w:r>
    </w:p>
    <w:p>
      <w:pPr>
        <w:pStyle w:val="32"/>
        <w:numPr>
          <w:ilvl w:val="0"/>
          <w:numId w:val="12"/>
        </w:numPr>
        <w:ind w:firstLine="480"/>
        <w:rPr>
          <w:rFonts w:hint="eastAsia"/>
          <w:color w:val="auto"/>
          <w:lang w:val="en-US" w:eastAsia="zh-CN"/>
        </w:rPr>
      </w:pPr>
      <w:r>
        <w:rPr>
          <w:rFonts w:hint="eastAsia"/>
          <w:color w:val="auto"/>
          <w:lang w:val="en-US" w:eastAsia="zh-CN"/>
        </w:rPr>
        <w:t>其它</w:t>
      </w:r>
    </w:p>
    <w:p>
      <w:pPr>
        <w:pStyle w:val="32"/>
        <w:ind w:firstLine="480"/>
        <w:rPr>
          <w:rFonts w:hint="eastAsia"/>
          <w:color w:val="auto"/>
        </w:rPr>
      </w:pPr>
      <w:r>
        <w:rPr>
          <w:rFonts w:hint="eastAsia"/>
          <w:color w:val="auto"/>
          <w:lang w:eastAsia="zh-CN"/>
        </w:rPr>
        <w:t>医疗废物等离子体集中处理处置工程</w:t>
      </w:r>
      <w:r>
        <w:rPr>
          <w:color w:val="auto"/>
        </w:rPr>
        <w:t>产生的噪声主要来源于气化熔融炉、风机、水泵、空压机、冷却塔等设备。</w:t>
      </w:r>
      <w:r>
        <w:rPr>
          <w:rFonts w:hint="eastAsia"/>
          <w:color w:val="auto"/>
        </w:rPr>
        <w:t>标准条文6.</w:t>
      </w:r>
      <w:r>
        <w:rPr>
          <w:rFonts w:hint="eastAsia"/>
          <w:color w:val="auto"/>
          <w:lang w:val="en-US" w:eastAsia="zh-CN"/>
        </w:rPr>
        <w:t>4.1</w:t>
      </w:r>
      <w:r>
        <w:rPr>
          <w:rFonts w:hint="eastAsia"/>
          <w:color w:val="auto"/>
        </w:rPr>
        <w:t>规定了</w:t>
      </w:r>
      <w:r>
        <w:rPr>
          <w:rFonts w:hint="eastAsia"/>
          <w:color w:val="auto"/>
          <w:lang w:eastAsia="zh-CN"/>
        </w:rPr>
        <w:t>集中处理处置工程</w:t>
      </w:r>
      <w:r>
        <w:rPr>
          <w:rFonts w:hint="eastAsia"/>
          <w:color w:val="auto"/>
        </w:rPr>
        <w:t>的噪声治理应符合</w:t>
      </w:r>
      <w:r>
        <w:rPr>
          <w:color w:val="auto"/>
        </w:rPr>
        <w:t>GB 3096和GB 12348的相关要求。对建筑物直达声源的噪声控制，应符合GB/T 50087的要求</w:t>
      </w:r>
      <w:r>
        <w:rPr>
          <w:rFonts w:hint="eastAsia"/>
          <w:color w:val="auto"/>
        </w:rPr>
        <w:t>。</w:t>
      </w:r>
    </w:p>
    <w:p>
      <w:pPr>
        <w:pStyle w:val="32"/>
        <w:ind w:firstLine="480"/>
        <w:rPr>
          <w:rFonts w:hint="eastAsia" w:cs="Times New Roman"/>
          <w:color w:val="auto"/>
          <w:lang w:val="en-US" w:eastAsia="zh-CN"/>
        </w:rPr>
      </w:pPr>
      <w:r>
        <w:rPr>
          <w:rFonts w:hint="eastAsia"/>
          <w:color w:val="auto"/>
          <w:lang w:val="en-US" w:eastAsia="zh-CN"/>
        </w:rPr>
        <w:t>本条文下还规定了信息化要求，</w:t>
      </w:r>
      <w:r>
        <w:rPr>
          <w:rFonts w:hint="eastAsia" w:ascii="Times New Roman" w:hAnsi="Times New Roman" w:cs="Times New Roman"/>
          <w:color w:val="auto"/>
          <w:lang w:val="en-US" w:eastAsia="zh-CN"/>
        </w:rPr>
        <w:t>集中处理处置工程应采用信息化管理技术，对医疗废物的收集、贮存、转运、处置等环节进行全过程、可追溯管理</w:t>
      </w:r>
      <w:r>
        <w:rPr>
          <w:rFonts w:hint="eastAsia" w:cs="Times New Roman"/>
          <w:color w:val="auto"/>
          <w:lang w:val="en-US" w:eastAsia="zh-CN"/>
        </w:rPr>
        <w:t>。</w:t>
      </w:r>
    </w:p>
    <w:p>
      <w:pPr>
        <w:pStyle w:val="32"/>
        <w:ind w:firstLine="480"/>
        <w:rPr>
          <w:color w:val="auto"/>
        </w:rPr>
      </w:pPr>
      <w:r>
        <w:rPr>
          <w:color w:val="auto"/>
          <w:lang w:val="zh-CN"/>
        </w:rPr>
        <w:t>2021</w:t>
      </w:r>
      <w:r>
        <w:rPr>
          <w:rFonts w:hint="eastAsia"/>
          <w:color w:val="auto"/>
          <w:lang w:val="zh-CN"/>
        </w:rPr>
        <w:t>年</w:t>
      </w:r>
      <w:r>
        <w:rPr>
          <w:color w:val="auto"/>
          <w:lang w:val="zh-CN"/>
        </w:rPr>
        <w:t>5</w:t>
      </w:r>
      <w:r>
        <w:rPr>
          <w:rFonts w:hint="eastAsia"/>
          <w:color w:val="auto"/>
          <w:lang w:val="zh-CN"/>
        </w:rPr>
        <w:t>月</w:t>
      </w:r>
      <w:r>
        <w:rPr>
          <w:color w:val="auto"/>
          <w:lang w:val="zh-CN"/>
        </w:rPr>
        <w:t>25</w:t>
      </w:r>
      <w:r>
        <w:rPr>
          <w:rFonts w:hint="eastAsia"/>
          <w:color w:val="auto"/>
          <w:lang w:val="zh-CN"/>
        </w:rPr>
        <w:t>日国务院办公厅最新发布的《强化危险废物监管和利用处置能力改革实施方案》，要求“依托生态环境保护信息化工程，完善国家危险废物环境管理信息系统，实现危险废物产生情况在线申报、管理计划在线备案、转移联单在线运行、利用处置情况在线报告和全过程在线监控”；</w:t>
      </w:r>
      <w:r>
        <w:rPr>
          <w:rFonts w:hint="eastAsia"/>
          <w:color w:val="auto"/>
        </w:rPr>
        <w:t>同时根据江苏省固体废物监督管理中心</w:t>
      </w:r>
      <w:r>
        <w:rPr>
          <w:color w:val="auto"/>
        </w:rPr>
        <w:t>2021年6月发布的《关于进一步推进全省危险废物经验单位使用危险废物全生命周期监控系统的通知》，医疗废物属于危险废物，应纳入全生命周期监控系统</w:t>
      </w:r>
      <w:r>
        <w:rPr>
          <w:rFonts w:hint="eastAsia"/>
          <w:color w:val="auto"/>
        </w:rPr>
        <w:t>，实现信息化管理。</w:t>
      </w:r>
    </w:p>
    <w:p>
      <w:pPr>
        <w:pStyle w:val="3"/>
        <w:rPr>
          <w:color w:val="auto"/>
        </w:rPr>
      </w:pPr>
      <w:bookmarkStart w:id="93" w:name="_Toc16644"/>
      <w:r>
        <w:rPr>
          <w:rFonts w:hint="eastAsia"/>
          <w:color w:val="auto"/>
        </w:rPr>
        <w:t>辅助工程和配套设施</w:t>
      </w:r>
      <w:bookmarkEnd w:id="93"/>
    </w:p>
    <w:p>
      <w:pPr>
        <w:pStyle w:val="32"/>
        <w:ind w:firstLine="480"/>
        <w:rPr>
          <w:color w:val="auto"/>
        </w:rPr>
      </w:pPr>
      <w:r>
        <w:rPr>
          <w:color w:val="auto"/>
        </w:rPr>
        <w:t>标准第</w:t>
      </w:r>
      <w:r>
        <w:rPr>
          <w:rFonts w:hint="eastAsia"/>
          <w:color w:val="auto"/>
        </w:rPr>
        <w:t>七</w:t>
      </w:r>
      <w:r>
        <w:rPr>
          <w:color w:val="auto"/>
        </w:rPr>
        <w:t>章为</w:t>
      </w:r>
      <w:r>
        <w:rPr>
          <w:rFonts w:hint="eastAsia"/>
          <w:color w:val="auto"/>
          <w:lang w:eastAsia="zh-CN"/>
        </w:rPr>
        <w:t>医疗废物等离子体集中处理处置工程</w:t>
      </w:r>
      <w:r>
        <w:rPr>
          <w:rFonts w:hint="eastAsia"/>
          <w:color w:val="auto"/>
        </w:rPr>
        <w:t>辅助工程和配套设施的相关设计要求。</w:t>
      </w:r>
    </w:p>
    <w:p>
      <w:pPr>
        <w:pStyle w:val="32"/>
        <w:ind w:firstLine="480"/>
        <w:rPr>
          <w:color w:val="auto"/>
        </w:rPr>
      </w:pPr>
      <w:r>
        <w:rPr>
          <w:rFonts w:hint="eastAsia"/>
          <w:color w:val="auto"/>
        </w:rPr>
        <w:t>本章节以相关标准引用的方式，为</w:t>
      </w:r>
      <w:r>
        <w:rPr>
          <w:rFonts w:hint="eastAsia"/>
          <w:color w:val="auto"/>
          <w:lang w:eastAsia="zh-CN"/>
        </w:rPr>
        <w:t>医疗废物等离子体集中处理处置工程</w:t>
      </w:r>
      <w:r>
        <w:rPr>
          <w:rFonts w:hint="eastAsia"/>
          <w:color w:val="auto"/>
        </w:rPr>
        <w:t>的配供电系统、生产生活给排水和消防、采暖通风与空调设计做出相应规定。在工程设计时只需遵循相关标准规范的对应章节，满足相关规定和要求，故在本标准中不再赘述。</w:t>
      </w:r>
    </w:p>
    <w:p>
      <w:pPr>
        <w:pStyle w:val="3"/>
        <w:rPr>
          <w:color w:val="auto"/>
        </w:rPr>
      </w:pPr>
      <w:bookmarkStart w:id="94" w:name="_Toc109654731"/>
      <w:bookmarkEnd w:id="94"/>
      <w:bookmarkStart w:id="95" w:name="_Toc109654828"/>
      <w:bookmarkEnd w:id="95"/>
      <w:bookmarkStart w:id="96" w:name="_Toc4418"/>
      <w:r>
        <w:rPr>
          <w:rFonts w:hint="eastAsia"/>
          <w:color w:val="auto"/>
        </w:rPr>
        <w:t>劳动安全与职业卫生</w:t>
      </w:r>
      <w:bookmarkEnd w:id="96"/>
    </w:p>
    <w:p>
      <w:pPr>
        <w:pStyle w:val="32"/>
        <w:ind w:firstLine="480"/>
        <w:rPr>
          <w:color w:val="auto"/>
        </w:rPr>
      </w:pPr>
      <w:r>
        <w:rPr>
          <w:color w:val="auto"/>
        </w:rPr>
        <w:t>标准第</w:t>
      </w:r>
      <w:r>
        <w:rPr>
          <w:rFonts w:hint="eastAsia"/>
          <w:color w:val="auto"/>
        </w:rPr>
        <w:t>八</w:t>
      </w:r>
      <w:r>
        <w:rPr>
          <w:color w:val="auto"/>
        </w:rPr>
        <w:t>章为</w:t>
      </w:r>
      <w:r>
        <w:rPr>
          <w:rFonts w:hint="eastAsia"/>
          <w:color w:val="auto"/>
          <w:lang w:eastAsia="zh-CN"/>
        </w:rPr>
        <w:t>医疗废物等离子体集中处理处置工程</w:t>
      </w:r>
      <w:r>
        <w:rPr>
          <w:rFonts w:hint="eastAsia"/>
          <w:color w:val="auto"/>
        </w:rPr>
        <w:t>劳动安全与职业卫生的相关规定。</w:t>
      </w:r>
    </w:p>
    <w:p>
      <w:pPr>
        <w:pStyle w:val="32"/>
        <w:ind w:firstLine="480"/>
        <w:rPr>
          <w:color w:val="auto"/>
        </w:rPr>
      </w:pPr>
      <w:r>
        <w:rPr>
          <w:rFonts w:hint="eastAsia"/>
          <w:color w:val="auto"/>
        </w:rPr>
        <w:t>本章节仅以相关标准引用的方式做出相应规定。</w:t>
      </w:r>
    </w:p>
    <w:p>
      <w:pPr>
        <w:pStyle w:val="3"/>
        <w:rPr>
          <w:color w:val="auto"/>
        </w:rPr>
      </w:pPr>
      <w:bookmarkStart w:id="97" w:name="_Toc109654735"/>
      <w:bookmarkEnd w:id="97"/>
      <w:bookmarkStart w:id="98" w:name="_Toc109654833"/>
      <w:bookmarkEnd w:id="98"/>
      <w:bookmarkStart w:id="99" w:name="_Toc109654736"/>
      <w:bookmarkEnd w:id="99"/>
      <w:bookmarkStart w:id="100" w:name="_Toc109654832"/>
      <w:bookmarkEnd w:id="100"/>
      <w:bookmarkStart w:id="101" w:name="_Toc109654733"/>
      <w:bookmarkEnd w:id="101"/>
      <w:bookmarkStart w:id="102" w:name="_Toc109654830"/>
      <w:bookmarkEnd w:id="102"/>
      <w:r>
        <w:rPr>
          <w:rFonts w:hint="eastAsia"/>
          <w:color w:val="auto"/>
        </w:rPr>
        <w:t xml:space="preserve"> </w:t>
      </w:r>
      <w:bookmarkStart w:id="103" w:name="_Toc21066"/>
      <w:r>
        <w:rPr>
          <w:rFonts w:hint="eastAsia"/>
          <w:color w:val="auto"/>
        </w:rPr>
        <w:t>运营管理</w:t>
      </w:r>
      <w:bookmarkEnd w:id="103"/>
    </w:p>
    <w:p>
      <w:pPr>
        <w:pStyle w:val="32"/>
        <w:ind w:firstLine="480"/>
        <w:rPr>
          <w:color w:val="auto"/>
        </w:rPr>
      </w:pPr>
      <w:r>
        <w:rPr>
          <w:color w:val="auto"/>
        </w:rPr>
        <w:t>标准第</w:t>
      </w:r>
      <w:r>
        <w:rPr>
          <w:rFonts w:hint="eastAsia"/>
          <w:color w:val="auto"/>
          <w:lang w:val="en-US" w:eastAsia="zh-CN"/>
        </w:rPr>
        <w:t>九</w:t>
      </w:r>
      <w:r>
        <w:rPr>
          <w:color w:val="auto"/>
        </w:rPr>
        <w:t>章为</w:t>
      </w:r>
      <w:r>
        <w:rPr>
          <w:rFonts w:hint="eastAsia"/>
          <w:color w:val="auto"/>
          <w:lang w:eastAsia="zh-CN"/>
        </w:rPr>
        <w:t>医疗废物等离子体集中处理处置工程</w:t>
      </w:r>
      <w:r>
        <w:rPr>
          <w:rFonts w:hint="eastAsia"/>
          <w:color w:val="auto"/>
        </w:rPr>
        <w:t>运营管理要求。</w:t>
      </w:r>
    </w:p>
    <w:p>
      <w:pPr>
        <w:pStyle w:val="32"/>
        <w:ind w:firstLine="480"/>
        <w:rPr>
          <w:color w:val="auto"/>
        </w:rPr>
      </w:pPr>
      <w:r>
        <w:rPr>
          <w:rFonts w:hint="eastAsia"/>
          <w:color w:val="auto"/>
        </w:rPr>
        <w:t>标准条文</w:t>
      </w:r>
      <w:r>
        <w:rPr>
          <w:rFonts w:hint="eastAsia"/>
          <w:color w:val="auto"/>
          <w:lang w:val="en-US" w:eastAsia="zh-CN"/>
        </w:rPr>
        <w:t>9</w:t>
      </w:r>
      <w:r>
        <w:rPr>
          <w:rFonts w:hint="eastAsia"/>
          <w:color w:val="auto"/>
        </w:rPr>
        <w:t>.1为一般规定，包括运行情况记录、档案规整以及疫情期间的增强管控等要求。同时针对运营管理要求，应当严格遵守危险废物经营许可证制度、相关技术规范、各种保证安全生产处置的规章制度等。</w:t>
      </w:r>
    </w:p>
    <w:p>
      <w:pPr>
        <w:pStyle w:val="32"/>
        <w:ind w:firstLine="480"/>
        <w:rPr>
          <w:color w:val="auto"/>
        </w:rPr>
      </w:pPr>
      <w:r>
        <w:rPr>
          <w:rFonts w:hint="eastAsia"/>
          <w:color w:val="auto"/>
        </w:rPr>
        <w:t>标准条文</w:t>
      </w:r>
      <w:r>
        <w:rPr>
          <w:rFonts w:hint="eastAsia"/>
          <w:color w:val="auto"/>
          <w:lang w:val="en-US" w:eastAsia="zh-CN"/>
        </w:rPr>
        <w:t>9</w:t>
      </w:r>
      <w:r>
        <w:rPr>
          <w:rFonts w:hint="eastAsia"/>
          <w:color w:val="auto"/>
        </w:rPr>
        <w:t>.2为监测要求，以相关标准引用的方式做出相应规定。</w:t>
      </w:r>
    </w:p>
    <w:p>
      <w:pPr>
        <w:pStyle w:val="32"/>
        <w:ind w:firstLine="480"/>
        <w:rPr>
          <w:color w:val="auto"/>
        </w:rPr>
      </w:pPr>
      <w:r>
        <w:rPr>
          <w:rFonts w:hint="eastAsia"/>
          <w:color w:val="auto"/>
        </w:rPr>
        <w:t>等离子体集中处置单位的自行排污及环境监测主要从废水、废气、固废，以及噪声四方面考虑。项目实际建设及运行过程中可参考《排污单位自行监测技术指南</w:t>
      </w:r>
      <w:r>
        <w:rPr>
          <w:color w:val="auto"/>
        </w:rPr>
        <w:t xml:space="preserve"> 总则</w:t>
      </w:r>
      <w:r>
        <w:rPr>
          <w:rFonts w:hint="eastAsia"/>
          <w:color w:val="auto"/>
        </w:rPr>
        <w:t>》（HJ</w:t>
      </w:r>
      <w:r>
        <w:rPr>
          <w:color w:val="auto"/>
        </w:rPr>
        <w:t xml:space="preserve"> 819</w:t>
      </w:r>
      <w:r>
        <w:rPr>
          <w:rFonts w:hint="eastAsia"/>
          <w:color w:val="auto"/>
        </w:rPr>
        <w:t>）、《排污单位自行监测技术指南</w:t>
      </w:r>
      <w:r>
        <w:rPr>
          <w:color w:val="auto"/>
        </w:rPr>
        <w:t xml:space="preserve"> 固体废物焚烧</w:t>
      </w:r>
      <w:r>
        <w:rPr>
          <w:rFonts w:hint="eastAsia"/>
          <w:color w:val="auto"/>
        </w:rPr>
        <w:t>》（HJ</w:t>
      </w:r>
      <w:r>
        <w:rPr>
          <w:color w:val="auto"/>
        </w:rPr>
        <w:t xml:space="preserve"> 1205</w:t>
      </w:r>
      <w:r>
        <w:rPr>
          <w:rFonts w:hint="eastAsia"/>
          <w:color w:val="auto"/>
        </w:rPr>
        <w:t>）、《排污单位自行监测技术指南</w:t>
      </w:r>
      <w:r>
        <w:rPr>
          <w:color w:val="auto"/>
        </w:rPr>
        <w:t xml:space="preserve"> 工业固体废物和危险废物治理</w:t>
      </w:r>
      <w:r>
        <w:rPr>
          <w:rFonts w:hint="eastAsia"/>
          <w:color w:val="auto"/>
        </w:rPr>
        <w:t>》（</w:t>
      </w:r>
      <w:r>
        <w:rPr>
          <w:rFonts w:hint="eastAsia" w:hAnsi="宋体"/>
          <w:color w:val="auto"/>
        </w:rPr>
        <w:t>HJ</w:t>
      </w:r>
      <w:r>
        <w:rPr>
          <w:rFonts w:hAnsi="宋体"/>
          <w:color w:val="auto"/>
        </w:rPr>
        <w:t xml:space="preserve"> 1250</w:t>
      </w:r>
      <w:r>
        <w:rPr>
          <w:rFonts w:hint="eastAsia"/>
          <w:color w:val="auto"/>
        </w:rPr>
        <w:t>）、《排污许可证申请与核发技术规范</w:t>
      </w:r>
      <w:r>
        <w:rPr>
          <w:color w:val="auto"/>
        </w:rPr>
        <w:t xml:space="preserve"> 危险废物焚烧</w:t>
      </w:r>
      <w:r>
        <w:rPr>
          <w:rFonts w:hint="eastAsia"/>
          <w:color w:val="auto"/>
        </w:rPr>
        <w:t>》</w:t>
      </w:r>
      <w:r>
        <w:rPr>
          <w:color w:val="auto"/>
        </w:rPr>
        <w:t>(HJ 1038)</w:t>
      </w:r>
      <w:r>
        <w:rPr>
          <w:rFonts w:hint="eastAsia"/>
          <w:color w:val="auto"/>
        </w:rPr>
        <w:t>、《</w:t>
      </w:r>
      <w:r>
        <w:rPr>
          <w:color w:val="auto"/>
        </w:rPr>
        <w:t>排污许可证申请与核发技术规范 工业固体废物和危险废物治理</w:t>
      </w:r>
      <w:r>
        <w:rPr>
          <w:rFonts w:hint="eastAsia"/>
          <w:color w:val="auto"/>
        </w:rPr>
        <w:t>》</w:t>
      </w:r>
      <w:r>
        <w:rPr>
          <w:color w:val="auto"/>
        </w:rPr>
        <w:t>(HJ 1033)</w:t>
      </w:r>
      <w:r>
        <w:rPr>
          <w:rFonts w:hint="eastAsia"/>
          <w:color w:val="auto"/>
        </w:rPr>
        <w:t>等相关标准与技术规范中针对主要污染物的排放监测指标及要求拟定。</w:t>
      </w:r>
    </w:p>
    <w:p>
      <w:pPr>
        <w:pStyle w:val="32"/>
        <w:ind w:firstLine="480"/>
        <w:rPr>
          <w:rFonts w:hint="eastAsia"/>
          <w:color w:val="auto"/>
        </w:rPr>
      </w:pPr>
      <w:r>
        <w:rPr>
          <w:rFonts w:hint="eastAsia"/>
          <w:color w:val="auto"/>
        </w:rPr>
        <w:t>标准条文</w:t>
      </w:r>
      <w:r>
        <w:rPr>
          <w:rFonts w:hint="eastAsia"/>
          <w:color w:val="auto"/>
          <w:lang w:val="en-US" w:eastAsia="zh-CN"/>
        </w:rPr>
        <w:t>9.3</w:t>
      </w:r>
      <w:r>
        <w:rPr>
          <w:rFonts w:hint="eastAsia"/>
          <w:color w:val="auto"/>
        </w:rPr>
        <w:t>为应急管理，以国家及地方政府相关法律法规、政策指南为参考依据。医疗废物等离子体集中</w:t>
      </w:r>
      <w:r>
        <w:rPr>
          <w:rFonts w:hint="eastAsia"/>
          <w:color w:val="auto"/>
          <w:lang w:val="en-US" w:eastAsia="zh-CN"/>
        </w:rPr>
        <w:t>处理</w:t>
      </w:r>
      <w:r>
        <w:rPr>
          <w:rFonts w:hint="eastAsia"/>
          <w:color w:val="auto"/>
        </w:rPr>
        <w:t>处置单位应按《危险废物经营单位编制应急预案指南》要求编制突发生态环境事故应急预案，并定期进行应急演练</w:t>
      </w:r>
      <w:r>
        <w:rPr>
          <w:rFonts w:hint="eastAsia"/>
          <w:color w:val="auto"/>
          <w:lang w:eastAsia="zh-CN"/>
        </w:rPr>
        <w:t>；</w:t>
      </w:r>
      <w:r>
        <w:rPr>
          <w:rFonts w:hint="eastAsia"/>
          <w:color w:val="auto"/>
        </w:rPr>
        <w:t>集中</w:t>
      </w:r>
      <w:r>
        <w:rPr>
          <w:rFonts w:hint="eastAsia"/>
          <w:color w:val="auto"/>
          <w:lang w:val="en-US" w:eastAsia="zh-CN"/>
        </w:rPr>
        <w:t>处理</w:t>
      </w:r>
      <w:r>
        <w:rPr>
          <w:rFonts w:hint="eastAsia"/>
          <w:color w:val="auto"/>
        </w:rPr>
        <w:t>处置</w:t>
      </w:r>
      <w:r>
        <w:rPr>
          <w:rFonts w:hint="eastAsia"/>
          <w:color w:val="auto"/>
          <w:lang w:val="en-US" w:eastAsia="zh-CN"/>
        </w:rPr>
        <w:t>单位</w:t>
      </w:r>
      <w:r>
        <w:rPr>
          <w:rFonts w:hint="eastAsia"/>
          <w:color w:val="auto"/>
        </w:rPr>
        <w:t>应强化医疗废物应急管控，应严格按照《国家突发公共事件总体应急预案》、《江苏省突发事件总体应急预案》相关规定执行</w:t>
      </w:r>
      <w:r>
        <w:rPr>
          <w:rFonts w:hint="eastAsia"/>
          <w:color w:val="auto"/>
          <w:lang w:eastAsia="zh-CN"/>
        </w:rPr>
        <w:t>；</w:t>
      </w:r>
      <w:bookmarkStart w:id="104" w:name="_Toc123303980"/>
      <w:bookmarkStart w:id="105" w:name="_Toc123917419"/>
      <w:bookmarkStart w:id="106" w:name="_Toc109306233"/>
      <w:bookmarkStart w:id="107" w:name="_Hlk126078339"/>
      <w:r>
        <w:rPr>
          <w:rFonts w:hint="eastAsia"/>
          <w:color w:val="auto"/>
        </w:rPr>
        <w:t>在国务院卫生行政主管部门发布的重大传染病疫情期间，</w:t>
      </w:r>
      <w:bookmarkEnd w:id="104"/>
      <w:bookmarkEnd w:id="105"/>
      <w:bookmarkEnd w:id="106"/>
      <w:r>
        <w:rPr>
          <w:rFonts w:hint="eastAsia"/>
          <w:color w:val="auto"/>
        </w:rPr>
        <w:t>应按照国家和地方相关法律法规及标准要求执行。</w:t>
      </w:r>
      <w:bookmarkEnd w:id="107"/>
      <w:bookmarkStart w:id="108" w:name="_Toc89875777"/>
    </w:p>
    <w:p>
      <w:pPr>
        <w:pStyle w:val="2"/>
        <w:rPr>
          <w:rFonts w:ascii="Times New Roman" w:hAnsi="Times New Roman" w:cs="Times New Roman"/>
          <w:color w:val="auto"/>
        </w:rPr>
      </w:pPr>
      <w:bookmarkStart w:id="109" w:name="_Toc5206"/>
      <w:r>
        <w:rPr>
          <w:rFonts w:ascii="Times New Roman" w:hAnsi="Times New Roman" w:cs="Times New Roman"/>
          <w:color w:val="auto"/>
        </w:rPr>
        <w:t>主要国家、地区及国际组织相关标准研究</w:t>
      </w:r>
      <w:bookmarkEnd w:id="109"/>
    </w:p>
    <w:p>
      <w:pPr>
        <w:pStyle w:val="3"/>
        <w:rPr>
          <w:rFonts w:cs="Times New Roman"/>
          <w:color w:val="auto"/>
        </w:rPr>
      </w:pPr>
      <w:bookmarkStart w:id="110" w:name="_Toc12150"/>
      <w:r>
        <w:rPr>
          <w:rFonts w:cs="Times New Roman"/>
          <w:color w:val="auto"/>
        </w:rPr>
        <w:t>国内医疗废物</w:t>
      </w:r>
      <w:r>
        <w:rPr>
          <w:rFonts w:hint="eastAsia" w:cs="Times New Roman"/>
          <w:color w:val="auto"/>
        </w:rPr>
        <w:t>管理体系</w:t>
      </w:r>
      <w:bookmarkEnd w:id="110"/>
    </w:p>
    <w:p>
      <w:pPr>
        <w:pStyle w:val="32"/>
        <w:ind w:firstLine="480"/>
        <w:rPr>
          <w:color w:val="auto"/>
          <w:lang w:val="zh-CN"/>
        </w:rPr>
      </w:pPr>
      <w:r>
        <w:rPr>
          <w:rFonts w:hint="eastAsia"/>
          <w:color w:val="auto"/>
          <w:lang w:val="zh-CN"/>
        </w:rPr>
        <w:t>我国现有</w:t>
      </w:r>
      <w:r>
        <w:rPr>
          <w:color w:val="auto"/>
          <w:lang w:val="zh-CN"/>
        </w:rPr>
        <w:t>医疗废物管理体系，</w:t>
      </w:r>
      <w:r>
        <w:rPr>
          <w:rFonts w:hint="eastAsia"/>
          <w:color w:val="auto"/>
          <w:lang w:val="zh-CN"/>
        </w:rPr>
        <w:t>以法律法规为准绳，以标准为支撑，以规范、指南为补充，管理要求涵盖生态环境与卫生健康</w:t>
      </w:r>
      <w:r>
        <w:rPr>
          <w:color w:val="auto"/>
          <w:lang w:val="zh-CN"/>
        </w:rPr>
        <w:t>2</w:t>
      </w:r>
      <w:r>
        <w:rPr>
          <w:rFonts w:hint="eastAsia"/>
          <w:color w:val="auto"/>
          <w:lang w:val="zh-CN"/>
        </w:rPr>
        <w:t>个主要领域</w:t>
      </w:r>
      <w:r>
        <w:rPr>
          <w:color w:val="auto"/>
          <w:lang w:val="zh-CN"/>
        </w:rPr>
        <w:t>。</w:t>
      </w:r>
      <w:r>
        <w:rPr>
          <w:rFonts w:hint="eastAsia"/>
          <w:color w:val="auto"/>
          <w:lang w:val="zh-CN"/>
        </w:rPr>
        <w:t>我国对于医疗废物处理处置全过程管理的具体要求，形成了以针对其技术选择、过程管理、污染控制、工程建设及运行管理不同阶段的标准规范为指导的全过程管理体系，将来还要丰富和完善信息化管控体系。下图为我国的医疗废物管理体系架构，自上而下划分为法律、行政法规部门规章、标准规范、其他技术政策四个层面。</w:t>
      </w:r>
    </w:p>
    <w:p>
      <w:pPr>
        <w:spacing w:line="336" w:lineRule="auto"/>
        <w:ind w:firstLine="420"/>
        <w:rPr>
          <w:rFonts w:ascii="Times New Roman" w:hAnsi="Times New Roman" w:eastAsia="宋体" w:cs="Times New Roman"/>
          <w:color w:val="auto"/>
          <w:kern w:val="0"/>
          <w:szCs w:val="21"/>
          <w:lang w:val="zh-CN"/>
        </w:rPr>
      </w:pPr>
    </w:p>
    <w:p>
      <w:pPr>
        <w:spacing w:line="336" w:lineRule="auto"/>
        <w:ind w:firstLine="420"/>
        <w:rPr>
          <w:rFonts w:ascii="Times New Roman" w:hAnsi="Times New Roman" w:eastAsia="宋体" w:cs="Times New Roman"/>
          <w:color w:val="auto"/>
          <w:kern w:val="0"/>
          <w:szCs w:val="21"/>
          <w:lang w:val="zh-CN"/>
        </w:rPr>
        <w:sectPr>
          <w:pgSz w:w="11906" w:h="16838"/>
          <w:pgMar w:top="1440" w:right="1800" w:bottom="1440" w:left="1800" w:header="851" w:footer="992" w:gutter="0"/>
          <w:cols w:space="425" w:num="1"/>
          <w:docGrid w:type="lines" w:linePitch="312" w:charSpace="0"/>
        </w:sectPr>
      </w:pPr>
    </w:p>
    <w:p>
      <w:pPr>
        <w:spacing w:line="336" w:lineRule="auto"/>
        <w:jc w:val="center"/>
        <w:rPr>
          <w:rFonts w:ascii="Times New Roman" w:hAnsi="Times New Roman" w:eastAsia="宋体" w:cs="Times New Roman"/>
          <w:color w:val="auto"/>
          <w:kern w:val="0"/>
          <w:szCs w:val="21"/>
          <w:lang w:val="zh-CN"/>
        </w:rPr>
      </w:pPr>
      <w:r>
        <w:rPr>
          <w:rFonts w:ascii="Times New Roman" w:hAnsi="Times New Roman" w:cs="Times New Roman"/>
          <w:color w:val="auto"/>
        </w:rPr>
        <w:drawing>
          <wp:inline distT="0" distB="0" distL="0" distR="0">
            <wp:extent cx="8862695" cy="4880610"/>
            <wp:effectExtent l="0" t="0" r="6985" b="1143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8"/>
                    <a:srcRect t="1645" b="1769"/>
                    <a:stretch>
                      <a:fillRect/>
                    </a:stretch>
                  </pic:blipFill>
                  <pic:spPr>
                    <a:xfrm>
                      <a:off x="0" y="0"/>
                      <a:ext cx="8863330" cy="4880814"/>
                    </a:xfrm>
                    <a:prstGeom prst="rect">
                      <a:avLst/>
                    </a:prstGeom>
                    <a:ln>
                      <a:noFill/>
                    </a:ln>
                  </pic:spPr>
                </pic:pic>
              </a:graphicData>
            </a:graphic>
          </wp:inline>
        </w:drawing>
      </w:r>
    </w:p>
    <w:p>
      <w:pPr>
        <w:pStyle w:val="23"/>
        <w:numPr>
          <w:ilvl w:val="0"/>
          <w:numId w:val="13"/>
        </w:numPr>
        <w:spacing w:line="336" w:lineRule="auto"/>
        <w:ind w:firstLineChars="0"/>
        <w:jc w:val="center"/>
        <w:rPr>
          <w:rFonts w:ascii="Times New Roman" w:hAnsi="Times New Roman" w:eastAsia="宋体" w:cs="Times New Roman"/>
          <w:b/>
          <w:color w:val="auto"/>
          <w:kern w:val="0"/>
          <w:szCs w:val="21"/>
        </w:rPr>
      </w:pPr>
      <w:r>
        <w:rPr>
          <w:rFonts w:hint="eastAsia" w:ascii="Times New Roman" w:hAnsi="Times New Roman" w:eastAsia="宋体" w:cs="Times New Roman"/>
          <w:b/>
          <w:color w:val="auto"/>
          <w:kern w:val="0"/>
          <w:szCs w:val="21"/>
        </w:rPr>
        <w:t>我国现有医疗废物管理体系</w:t>
      </w:r>
    </w:p>
    <w:p>
      <w:pPr>
        <w:pStyle w:val="23"/>
        <w:numPr>
          <w:ilvl w:val="0"/>
          <w:numId w:val="13"/>
        </w:numPr>
        <w:spacing w:line="336" w:lineRule="auto"/>
        <w:ind w:firstLineChars="0"/>
        <w:jc w:val="center"/>
        <w:rPr>
          <w:rFonts w:ascii="Times New Roman" w:hAnsi="Times New Roman" w:eastAsia="宋体" w:cs="Times New Roman"/>
          <w:b/>
          <w:color w:val="auto"/>
          <w:kern w:val="0"/>
          <w:szCs w:val="21"/>
        </w:rPr>
        <w:sectPr>
          <w:pgSz w:w="16838" w:h="11906" w:orient="landscape"/>
          <w:pgMar w:top="1800" w:right="1440" w:bottom="1800" w:left="1440" w:header="851" w:footer="992" w:gutter="0"/>
          <w:cols w:space="425" w:num="1"/>
          <w:docGrid w:type="lines" w:linePitch="312" w:charSpace="0"/>
        </w:sectPr>
      </w:pPr>
    </w:p>
    <w:p>
      <w:pPr>
        <w:pStyle w:val="4"/>
        <w:rPr>
          <w:rFonts w:cs="Times New Roman"/>
          <w:color w:val="auto"/>
          <w:lang w:val="zh-CN"/>
        </w:rPr>
      </w:pPr>
      <w:bookmarkStart w:id="111" w:name="_Toc10302"/>
      <w:r>
        <w:rPr>
          <w:rFonts w:hint="eastAsia" w:cs="Times New Roman"/>
          <w:color w:val="auto"/>
          <w:lang w:val="zh-CN"/>
        </w:rPr>
        <w:t>法律法规及政策要求</w:t>
      </w:r>
      <w:bookmarkEnd w:id="111"/>
    </w:p>
    <w:p>
      <w:pPr>
        <w:pStyle w:val="32"/>
        <w:ind w:firstLine="480"/>
        <w:rPr>
          <w:color w:val="auto"/>
          <w:lang w:val="zh-CN"/>
        </w:rPr>
      </w:pPr>
      <w:r>
        <w:rPr>
          <w:color w:val="auto"/>
          <w:lang w:val="zh-CN"/>
        </w:rPr>
        <w:t>自上世纪90年代起我国</w:t>
      </w:r>
      <w:r>
        <w:rPr>
          <w:rFonts w:hint="eastAsia"/>
          <w:color w:val="auto"/>
          <w:lang w:val="zh-CN"/>
        </w:rPr>
        <w:t>医疗废物</w:t>
      </w:r>
      <w:r>
        <w:rPr>
          <w:color w:val="auto"/>
          <w:lang w:val="zh-CN"/>
        </w:rPr>
        <w:t>处置行业起步，经历</w:t>
      </w:r>
      <w:r>
        <w:rPr>
          <w:rFonts w:hint="eastAsia"/>
          <w:color w:val="auto"/>
          <w:lang w:val="zh-CN"/>
        </w:rPr>
        <w:t>“</w:t>
      </w:r>
      <w:r>
        <w:rPr>
          <w:color w:val="auto"/>
          <w:lang w:val="zh-CN"/>
        </w:rPr>
        <w:t>非典</w:t>
      </w:r>
      <w:r>
        <w:rPr>
          <w:rFonts w:hint="eastAsia"/>
          <w:color w:val="auto"/>
          <w:lang w:val="zh-CN"/>
        </w:rPr>
        <w:t>”</w:t>
      </w:r>
      <w:r>
        <w:rPr>
          <w:color w:val="auto"/>
          <w:lang w:val="zh-CN"/>
        </w:rPr>
        <w:t>和</w:t>
      </w:r>
      <w:r>
        <w:rPr>
          <w:rFonts w:hint="eastAsia"/>
          <w:color w:val="auto"/>
          <w:lang w:val="zh-CN"/>
        </w:rPr>
        <w:t>“</w:t>
      </w:r>
      <w:r>
        <w:rPr>
          <w:color w:val="auto"/>
          <w:lang w:val="zh-CN"/>
        </w:rPr>
        <w:t>新冠</w:t>
      </w:r>
      <w:r>
        <w:rPr>
          <w:rFonts w:hint="eastAsia"/>
          <w:color w:val="auto"/>
          <w:lang w:val="zh-CN"/>
        </w:rPr>
        <w:t>”</w:t>
      </w:r>
      <w:r>
        <w:rPr>
          <w:color w:val="auto"/>
          <w:lang w:val="zh-CN"/>
        </w:rPr>
        <w:t>两次全球大规模疫情公共事件，我国医废处置行业从基础薄弱到快速发展、进入相对成熟期，又再次暴露短板，面临行业升级。国家逐渐加强对医废管理与处置行业的重视程度，颁布了一系列相关政策法规，指导、调控、规范医废处置行业的稳步发展。</w:t>
      </w:r>
    </w:p>
    <w:p>
      <w:pPr>
        <w:pStyle w:val="32"/>
        <w:ind w:firstLine="480"/>
        <w:rPr>
          <w:color w:val="auto"/>
          <w:lang w:val="zh-CN"/>
        </w:rPr>
      </w:pPr>
      <w:r>
        <w:rPr>
          <w:color w:val="auto"/>
          <w:lang w:val="zh-CN"/>
        </w:rPr>
        <w:t>20世纪80年代前，我国并没有医废单独分类处置的要求，1989年《中华人民共和国传染病防治法》和1998年《国家危废名录》的颁布，标志着国家</w:t>
      </w:r>
      <w:r>
        <w:rPr>
          <w:rFonts w:hint="eastAsia"/>
          <w:color w:val="auto"/>
          <w:lang w:val="zh-CN"/>
        </w:rPr>
        <w:t>正式开始</w:t>
      </w:r>
      <w:r>
        <w:rPr>
          <w:color w:val="auto"/>
          <w:lang w:val="zh-CN"/>
        </w:rPr>
        <w:t>对医废处置行业的管理。</w:t>
      </w:r>
    </w:p>
    <w:p>
      <w:pPr>
        <w:pStyle w:val="32"/>
        <w:ind w:firstLine="480"/>
        <w:rPr>
          <w:color w:val="auto"/>
          <w:lang w:val="zh-CN"/>
        </w:rPr>
      </w:pPr>
      <w:r>
        <w:rPr>
          <w:color w:val="auto"/>
          <w:lang w:val="zh-CN"/>
        </w:rPr>
        <w:t>2003年</w:t>
      </w:r>
      <w:r>
        <w:rPr>
          <w:rFonts w:hint="eastAsia"/>
          <w:color w:val="auto"/>
          <w:lang w:val="zh-CN"/>
        </w:rPr>
        <w:t>“</w:t>
      </w:r>
      <w:r>
        <w:rPr>
          <w:color w:val="auto"/>
          <w:lang w:val="zh-CN"/>
        </w:rPr>
        <w:t>非典</w:t>
      </w:r>
      <w:r>
        <w:rPr>
          <w:rFonts w:hint="eastAsia"/>
          <w:color w:val="auto"/>
          <w:lang w:val="zh-CN"/>
        </w:rPr>
        <w:t>”</w:t>
      </w:r>
      <w:r>
        <w:rPr>
          <w:color w:val="auto"/>
          <w:lang w:val="zh-CN"/>
        </w:rPr>
        <w:t>事件引发我国医废处置行业的第一次大发展。2003年6月至2006年2月，</w:t>
      </w:r>
      <w:r>
        <w:rPr>
          <w:rFonts w:hint="eastAsia"/>
          <w:color w:val="auto"/>
          <w:lang w:val="zh-CN"/>
        </w:rPr>
        <w:t>国务院、国家环保局、国家卫生部、国家卫计委等重要</w:t>
      </w:r>
      <w:r>
        <w:rPr>
          <w:color w:val="auto"/>
          <w:lang w:val="zh-CN"/>
        </w:rPr>
        <w:t>国家级部门针对医废相继出台7份重磅文件，内容涉及医废的商业模式、发展规划、运输系统要求、处置工艺等，我国医废处置体系基本建立。代表政策有《医疗废物分类目录》（2003年10月）</w:t>
      </w:r>
      <w:r>
        <w:rPr>
          <w:rFonts w:hint="eastAsia"/>
          <w:color w:val="auto"/>
          <w:lang w:val="zh-CN"/>
        </w:rPr>
        <w:t>、</w:t>
      </w:r>
      <w:r>
        <w:rPr>
          <w:color w:val="auto"/>
          <w:lang w:val="zh-CN"/>
        </w:rPr>
        <w:t>《全国危险废物和医疗废物处置设施建设规划》（2004年1月）等。</w:t>
      </w:r>
    </w:p>
    <w:p>
      <w:pPr>
        <w:pStyle w:val="32"/>
        <w:ind w:firstLine="480"/>
        <w:rPr>
          <w:color w:val="auto"/>
          <w:lang w:val="zh-CN"/>
        </w:rPr>
      </w:pPr>
      <w:r>
        <w:rPr>
          <w:rFonts w:hint="eastAsia"/>
          <w:color w:val="auto"/>
          <w:lang w:val="zh-CN"/>
        </w:rPr>
        <w:t>此后</w:t>
      </w:r>
      <w:r>
        <w:rPr>
          <w:color w:val="auto"/>
          <w:lang w:val="zh-CN"/>
        </w:rPr>
        <w:t>，我国医废处置体系逐步完善、健全</w:t>
      </w:r>
      <w:r>
        <w:rPr>
          <w:rFonts w:hint="eastAsia"/>
          <w:color w:val="auto"/>
          <w:lang w:val="zh-CN"/>
        </w:rPr>
        <w:t>并趋向</w:t>
      </w:r>
      <w:r>
        <w:rPr>
          <w:color w:val="auto"/>
          <w:lang w:val="zh-CN"/>
        </w:rPr>
        <w:t>规范、稳定化发展。代表政策为《关于进一步加强危险废物和医疗废物监管工作的意见》（2011年2月）、强化对危险废物产生单位和经营单位的环境监管、《关于进一步加强医疗废物管理工作的通知》（2013年12月）等。</w:t>
      </w:r>
    </w:p>
    <w:p>
      <w:pPr>
        <w:pStyle w:val="32"/>
        <w:ind w:firstLine="480"/>
        <w:rPr>
          <w:color w:val="auto"/>
          <w:lang w:val="zh-CN"/>
        </w:rPr>
      </w:pPr>
      <w:r>
        <w:rPr>
          <w:color w:val="auto"/>
          <w:lang w:val="zh-CN"/>
        </w:rPr>
        <w:t>2020年</w:t>
      </w:r>
      <w:r>
        <w:rPr>
          <w:rFonts w:hint="eastAsia"/>
          <w:color w:val="auto"/>
          <w:lang w:val="zh-CN"/>
        </w:rPr>
        <w:t>“</w:t>
      </w:r>
      <w:r>
        <w:rPr>
          <w:color w:val="auto"/>
          <w:lang w:val="zh-CN"/>
        </w:rPr>
        <w:t>新冠</w:t>
      </w:r>
      <w:r>
        <w:rPr>
          <w:rFonts w:hint="eastAsia"/>
          <w:color w:val="auto"/>
          <w:lang w:val="zh-CN"/>
        </w:rPr>
        <w:t>”</w:t>
      </w:r>
      <w:r>
        <w:rPr>
          <w:color w:val="auto"/>
          <w:lang w:val="zh-CN"/>
        </w:rPr>
        <w:t>疫情</w:t>
      </w:r>
      <w:r>
        <w:rPr>
          <w:rFonts w:hint="eastAsia"/>
          <w:color w:val="auto"/>
          <w:lang w:val="zh-CN"/>
        </w:rPr>
        <w:t>的爆发</w:t>
      </w:r>
      <w:r>
        <w:rPr>
          <w:color w:val="auto"/>
          <w:lang w:val="zh-CN"/>
        </w:rPr>
        <w:t>暴露</w:t>
      </w:r>
      <w:r>
        <w:rPr>
          <w:rFonts w:hint="eastAsia"/>
          <w:color w:val="auto"/>
          <w:lang w:val="zh-CN"/>
        </w:rPr>
        <w:t>出</w:t>
      </w:r>
      <w:r>
        <w:rPr>
          <w:color w:val="auto"/>
          <w:lang w:val="zh-CN"/>
        </w:rPr>
        <w:t>我国医废处置</w:t>
      </w:r>
      <w:r>
        <w:rPr>
          <w:rFonts w:hint="eastAsia"/>
          <w:color w:val="auto"/>
          <w:lang w:val="zh-CN"/>
        </w:rPr>
        <w:t>行业的</w:t>
      </w:r>
      <w:r>
        <w:rPr>
          <w:color w:val="auto"/>
          <w:lang w:val="zh-CN"/>
        </w:rPr>
        <w:t>短板，</w:t>
      </w:r>
      <w:r>
        <w:rPr>
          <w:rFonts w:hint="eastAsia"/>
          <w:color w:val="auto"/>
          <w:lang w:val="zh-CN"/>
        </w:rPr>
        <w:t>整体上来看，</w:t>
      </w:r>
      <w:r>
        <w:rPr>
          <w:color w:val="auto"/>
          <w:lang w:val="zh-CN"/>
        </w:rPr>
        <w:t>亟待技术改进升级、打破区域不均衡</w:t>
      </w:r>
      <w:r>
        <w:rPr>
          <w:rFonts w:hint="eastAsia"/>
          <w:color w:val="auto"/>
          <w:lang w:val="zh-CN"/>
        </w:rPr>
        <w:t>，需尽快</w:t>
      </w:r>
      <w:r>
        <w:rPr>
          <w:color w:val="auto"/>
          <w:lang w:val="zh-CN"/>
        </w:rPr>
        <w:t>提高应对突发事件的能力。行业进入</w:t>
      </w:r>
      <w:r>
        <w:rPr>
          <w:rFonts w:hint="eastAsia"/>
          <w:color w:val="auto"/>
          <w:lang w:val="zh-CN"/>
        </w:rPr>
        <w:t>第二次</w:t>
      </w:r>
      <w:r>
        <w:rPr>
          <w:color w:val="auto"/>
          <w:lang w:val="zh-CN"/>
        </w:rPr>
        <w:t>发展期，代表政策和法规有《关于印发医疗机构废弃物综合治理工作方案的通知》（2020年2</w:t>
      </w:r>
      <w:r>
        <w:rPr>
          <w:rFonts w:hint="eastAsia"/>
          <w:color w:val="auto"/>
          <w:lang w:val="zh-CN"/>
        </w:rPr>
        <w:t>月</w:t>
      </w:r>
      <w:r>
        <w:rPr>
          <w:color w:val="auto"/>
          <w:lang w:val="zh-CN"/>
        </w:rPr>
        <w:t>）、《中华人民共和国固体废物污染环境防治法》（2020年9</w:t>
      </w:r>
      <w:r>
        <w:rPr>
          <w:rFonts w:hint="eastAsia"/>
          <w:color w:val="auto"/>
          <w:lang w:val="zh-CN"/>
        </w:rPr>
        <w:t>月</w:t>
      </w:r>
      <w:r>
        <w:rPr>
          <w:color w:val="auto"/>
          <w:lang w:val="zh-CN"/>
        </w:rPr>
        <w:t>1</w:t>
      </w:r>
      <w:r>
        <w:rPr>
          <w:rFonts w:hint="eastAsia"/>
          <w:color w:val="auto"/>
          <w:lang w:val="zh-CN"/>
        </w:rPr>
        <w:t>日实施</w:t>
      </w:r>
      <w:r>
        <w:rPr>
          <w:color w:val="auto"/>
          <w:lang w:val="zh-CN"/>
        </w:rPr>
        <w:t>）、《国家危险废物名录》（2021年1月1日实施）等。</w:t>
      </w:r>
    </w:p>
    <w:p>
      <w:pPr>
        <w:pStyle w:val="32"/>
        <w:ind w:firstLine="480"/>
        <w:rPr>
          <w:color w:val="auto"/>
          <w:lang w:val="zh-CN"/>
        </w:rPr>
      </w:pPr>
      <w:r>
        <w:rPr>
          <w:color w:val="auto"/>
          <w:lang w:val="zh-CN"/>
        </w:rPr>
        <w:t>其中，《方案》由国家卫生健康委、生态环境部、国家发展改革委、工业和信息化部、公安部、财政部、住房城乡建设部、商务部、市场监管总局、国家医保局等十部委联合发布，“要在2020年底前实现每个地级以上城市至少建成1个符合要求的医疗废物集中处置设施”；“通过引进新技术、更新设备设施等措施，优化处置方式，补齐短板，大幅度提升现有医疗废物集中处置设施的处置能力”</w:t>
      </w:r>
      <w:r>
        <w:rPr>
          <w:rFonts w:hint="eastAsia"/>
          <w:color w:val="auto"/>
          <w:lang w:val="zh-CN"/>
        </w:rPr>
        <w:t>；</w:t>
      </w:r>
      <w:r>
        <w:rPr>
          <w:color w:val="auto"/>
          <w:lang w:val="zh-CN"/>
        </w:rPr>
        <w:t>2020年修订的《固废法》明确规定，“医疗废物按照国家危险废物名录管理。县级以上地方人民政府应当加强医疗废物集中处置能力建设”。“医疗卫生机构应当依法分类收集本单位产生的医疗废物，交由医疗废物集中处置单位处置”</w:t>
      </w:r>
      <w:r>
        <w:rPr>
          <w:rFonts w:hint="eastAsia"/>
          <w:color w:val="auto"/>
          <w:lang w:val="zh-CN"/>
        </w:rPr>
        <w:t>。</w:t>
      </w:r>
    </w:p>
    <w:p>
      <w:pPr>
        <w:pStyle w:val="32"/>
        <w:ind w:firstLine="480"/>
        <w:rPr>
          <w:color w:val="auto"/>
          <w:lang w:val="zh-CN"/>
        </w:rPr>
      </w:pPr>
      <w:r>
        <w:rPr>
          <w:color w:val="auto"/>
          <w:lang w:val="zh-CN"/>
        </w:rPr>
        <w:t>2021</w:t>
      </w:r>
      <w:r>
        <w:rPr>
          <w:rFonts w:hint="eastAsia"/>
          <w:color w:val="auto"/>
          <w:lang w:val="zh-CN"/>
        </w:rPr>
        <w:t>年</w:t>
      </w:r>
      <w:r>
        <w:rPr>
          <w:color w:val="auto"/>
          <w:lang w:val="zh-CN"/>
        </w:rPr>
        <w:t>5</w:t>
      </w:r>
      <w:r>
        <w:rPr>
          <w:rFonts w:hint="eastAsia"/>
          <w:color w:val="auto"/>
          <w:lang w:val="zh-CN"/>
        </w:rPr>
        <w:t>月</w:t>
      </w:r>
      <w:r>
        <w:rPr>
          <w:color w:val="auto"/>
          <w:lang w:val="zh-CN"/>
        </w:rPr>
        <w:t>25</w:t>
      </w:r>
      <w:r>
        <w:rPr>
          <w:rFonts w:hint="eastAsia"/>
          <w:color w:val="auto"/>
          <w:lang w:val="zh-CN"/>
        </w:rPr>
        <w:t>日国务院办公厅最新发布的《强化危险废物监管和利用处置能力改革实施方案》，要求“依托生态环境保护信息化工程，完善国家危险废物环境管理信息系统，实现危险废物产生情况在线申报、管理计划在线备案、转移联单在线运行、利用处置情况在线报告和全过程在线监控”，明确指出“鼓励推广应用医疗废物集中处置新技术、新设备”。</w:t>
      </w:r>
    </w:p>
    <w:p>
      <w:pPr>
        <w:pStyle w:val="32"/>
        <w:ind w:firstLine="480"/>
        <w:rPr>
          <w:color w:val="auto"/>
          <w:lang w:val="zh-CN"/>
        </w:rPr>
      </w:pPr>
      <w:r>
        <w:rPr>
          <w:rFonts w:hint="eastAsia"/>
          <w:color w:val="auto"/>
          <w:lang w:val="zh-CN"/>
        </w:rPr>
        <w:t>为了进一步规范医疗废物管理，促进医疗废物科学分类、科学处置，国家卫生健康委和生态环境部组织修订了2003年《医疗废物分类目录》，形成了《医疗废物分类目录（2021年版）》，</w:t>
      </w:r>
      <w:r>
        <w:rPr>
          <w:rFonts w:hint="eastAsia"/>
          <w:color w:val="auto"/>
        </w:rPr>
        <w:t>对五类医疗废物常见组分或废物名称做不同程度的调整，并提出收集方式，重点针对“符合医疗废物定义、但无风险或者风险较低的医疗废物，在满足相关条件时，可以不按照医疗废物进行管理”，具体体现在“医疗废物豁免管理清单”中。</w:t>
      </w:r>
    </w:p>
    <w:p>
      <w:pPr>
        <w:pStyle w:val="32"/>
        <w:ind w:firstLine="480"/>
        <w:rPr>
          <w:color w:val="auto"/>
          <w:lang w:val="zh-CN"/>
        </w:rPr>
      </w:pPr>
      <w:r>
        <w:rPr>
          <w:color w:val="auto"/>
          <w:lang w:val="zh-CN"/>
        </w:rPr>
        <w:t>2021</w:t>
      </w:r>
      <w:r>
        <w:rPr>
          <w:rFonts w:hint="eastAsia"/>
          <w:color w:val="auto"/>
          <w:lang w:val="zh-CN"/>
        </w:rPr>
        <w:t>年</w:t>
      </w:r>
      <w:r>
        <w:rPr>
          <w:color w:val="auto"/>
          <w:lang w:val="zh-CN"/>
        </w:rPr>
        <w:t>12</w:t>
      </w:r>
      <w:r>
        <w:rPr>
          <w:rFonts w:hint="eastAsia"/>
          <w:color w:val="auto"/>
          <w:lang w:val="zh-CN"/>
        </w:rPr>
        <w:t>月</w:t>
      </w:r>
      <w:r>
        <w:rPr>
          <w:color w:val="auto"/>
          <w:lang w:val="zh-CN"/>
        </w:rPr>
        <w:t>15</w:t>
      </w:r>
      <w:r>
        <w:rPr>
          <w:rFonts w:hint="eastAsia"/>
          <w:color w:val="auto"/>
          <w:lang w:val="zh-CN"/>
        </w:rPr>
        <w:t>日，生态环境部等十八部委机构联合发布《“十四五”时期“无废城市”建设工作方案》，要求“将医疗废物等固体废物分类收集及无害化处置设施纳入环境基础设施和公共设施范围，保障设施用地和资金投入”；“完善医疗废物收集转运处置体系，保障重大疫情医疗废物应急处理能力，完善应急处置机制”。</w:t>
      </w:r>
    </w:p>
    <w:p>
      <w:pPr>
        <w:pStyle w:val="4"/>
        <w:rPr>
          <w:rFonts w:cs="Times New Roman"/>
          <w:color w:val="auto"/>
          <w:lang w:val="zh-CN"/>
        </w:rPr>
      </w:pPr>
      <w:bookmarkStart w:id="112" w:name="_Toc21919"/>
      <w:r>
        <w:rPr>
          <w:rFonts w:cs="Times New Roman"/>
          <w:color w:val="auto"/>
          <w:lang w:val="zh-CN"/>
        </w:rPr>
        <w:t>相关标准</w:t>
      </w:r>
      <w:r>
        <w:rPr>
          <w:rFonts w:hint="eastAsia" w:cs="Times New Roman"/>
          <w:color w:val="auto"/>
          <w:lang w:val="zh-CN"/>
        </w:rPr>
        <w:t>要求</w:t>
      </w:r>
      <w:bookmarkEnd w:id="112"/>
    </w:p>
    <w:p>
      <w:pPr>
        <w:pStyle w:val="32"/>
        <w:ind w:firstLine="480"/>
        <w:rPr>
          <w:color w:val="auto"/>
          <w:lang w:val="zh-CN"/>
        </w:rPr>
      </w:pPr>
      <w:r>
        <w:rPr>
          <w:rFonts w:hint="eastAsia"/>
          <w:color w:val="auto"/>
          <w:lang w:val="zh-CN"/>
        </w:rPr>
        <w:t>随着</w:t>
      </w:r>
      <w:r>
        <w:rPr>
          <w:color w:val="auto"/>
          <w:lang w:val="zh-CN"/>
        </w:rPr>
        <w:t>我国医废处置行业的不断发展，国家对医疗废物处置全流程的各个环节，基于当时技术发展水平，制定了相应的规范和标准，着重点在于医废处置行业技术的规范和处置过程中污染物排放的控制。</w:t>
      </w:r>
    </w:p>
    <w:p>
      <w:pPr>
        <w:pStyle w:val="32"/>
        <w:ind w:firstLine="480"/>
        <w:rPr>
          <w:color w:val="auto"/>
          <w:lang w:val="zh-CN"/>
        </w:rPr>
      </w:pPr>
      <w:r>
        <w:rPr>
          <w:rFonts w:hint="eastAsia"/>
          <w:color w:val="auto"/>
          <w:lang w:val="zh-CN"/>
        </w:rPr>
        <w:t>（</w:t>
      </w:r>
      <w:r>
        <w:rPr>
          <w:color w:val="auto"/>
          <w:lang w:val="zh-CN"/>
        </w:rPr>
        <w:t>1</w:t>
      </w:r>
      <w:r>
        <w:rPr>
          <w:rFonts w:hint="eastAsia"/>
          <w:color w:val="auto"/>
          <w:lang w:val="zh-CN"/>
        </w:rPr>
        <w:t>）全过程管理要求</w:t>
      </w:r>
    </w:p>
    <w:p>
      <w:pPr>
        <w:pStyle w:val="32"/>
        <w:ind w:firstLine="480"/>
        <w:rPr>
          <w:color w:val="auto"/>
        </w:rPr>
      </w:pPr>
      <w:r>
        <w:rPr>
          <w:rFonts w:hint="eastAsia"/>
          <w:color w:val="auto"/>
          <w:lang w:val="zh-CN"/>
        </w:rPr>
        <w:t>医疗废物的全过程管理涉及产生、分类、包装、收集、贮存、转运、处置、污染控制等众多环节。在我国，针对具体环节，分别有相关的标准规范加以限定，如《医疗废物专用包装袋、容器和警示标志标准》对医疗废物的包装标识环节予以明确的说明；《医疗废物转运车技术要求》针对运输车辆做出规定和要求，提高转运环节的安全性；又如针对消毒技术处理后的医废残渣去向问题，去生活垃圾填埋场填埋、生活垃圾焚烧发电厂焚烧等亦有入厂条件限定；针对重大疫情期间，危险废物处置单位协同处置医疗废物的特殊规定等。随着工艺技术水平的提高和行业的不断发展，国家开始逐步完善危险废物环境管理信息化体系，视频监控、电子标签等集成智能监控手段将实现对危险废物的全过程跟踪管理。</w:t>
      </w:r>
    </w:p>
    <w:p>
      <w:pPr>
        <w:pStyle w:val="32"/>
        <w:ind w:firstLine="480"/>
        <w:rPr>
          <w:color w:val="auto"/>
        </w:rPr>
      </w:pPr>
      <w:r>
        <w:rPr>
          <w:rFonts w:hint="eastAsia"/>
          <w:color w:val="auto"/>
        </w:rPr>
        <w:t>（</w:t>
      </w:r>
      <w:r>
        <w:rPr>
          <w:color w:val="auto"/>
        </w:rPr>
        <w:t>2</w:t>
      </w:r>
      <w:r>
        <w:rPr>
          <w:rFonts w:hint="eastAsia"/>
          <w:color w:val="auto"/>
        </w:rPr>
        <w:t>）</w:t>
      </w:r>
      <w:r>
        <w:rPr>
          <w:rFonts w:hint="eastAsia"/>
          <w:color w:val="auto"/>
          <w:lang w:val="zh-CN"/>
        </w:rPr>
        <w:t>污染控制要求</w:t>
      </w:r>
    </w:p>
    <w:p>
      <w:pPr>
        <w:pStyle w:val="32"/>
        <w:ind w:firstLine="480"/>
        <w:rPr>
          <w:color w:val="auto"/>
          <w:lang w:val="zh-CN"/>
        </w:rPr>
      </w:pPr>
      <w:r>
        <w:rPr>
          <w:color w:val="auto"/>
          <w:lang w:val="zh-CN"/>
        </w:rPr>
        <w:t>《危险废物焚烧污染控制标准》</w:t>
      </w:r>
      <w:r>
        <w:rPr>
          <w:rFonts w:hint="eastAsia"/>
          <w:color w:val="auto"/>
          <w:lang w:val="zh-CN"/>
        </w:rPr>
        <w:t>（</w:t>
      </w:r>
      <w:r>
        <w:rPr>
          <w:color w:val="auto"/>
          <w:lang w:val="zh-CN"/>
        </w:rPr>
        <w:t>GB 18484</w:t>
      </w:r>
      <w:r>
        <w:rPr>
          <w:rFonts w:hint="eastAsia"/>
          <w:color w:val="auto"/>
          <w:lang w:val="zh-CN"/>
        </w:rPr>
        <w:t>）</w:t>
      </w:r>
      <w:r>
        <w:rPr>
          <w:color w:val="auto"/>
          <w:lang w:val="zh-CN"/>
        </w:rPr>
        <w:t>、《危险废物贮存污染控制标准》</w:t>
      </w:r>
      <w:r>
        <w:rPr>
          <w:rFonts w:hint="eastAsia"/>
          <w:color w:val="auto"/>
          <w:lang w:val="zh-CN"/>
        </w:rPr>
        <w:t>（</w:t>
      </w:r>
      <w:r>
        <w:rPr>
          <w:color w:val="auto"/>
          <w:lang w:val="zh-CN"/>
        </w:rPr>
        <w:t>GB 18597</w:t>
      </w:r>
      <w:r>
        <w:rPr>
          <w:rFonts w:hint="eastAsia"/>
          <w:color w:val="auto"/>
          <w:lang w:val="zh-CN"/>
        </w:rPr>
        <w:t>）</w:t>
      </w:r>
      <w:r>
        <w:rPr>
          <w:color w:val="auto"/>
          <w:lang w:val="zh-CN"/>
        </w:rPr>
        <w:t>、《医疗机构水污染物排放标准》</w:t>
      </w:r>
      <w:r>
        <w:rPr>
          <w:rFonts w:hint="eastAsia"/>
          <w:color w:val="auto"/>
          <w:lang w:val="zh-CN"/>
        </w:rPr>
        <w:t>（</w:t>
      </w:r>
      <w:r>
        <w:rPr>
          <w:color w:val="auto"/>
          <w:lang w:val="zh-CN"/>
        </w:rPr>
        <w:t>GB 18466</w:t>
      </w:r>
      <w:r>
        <w:rPr>
          <w:rFonts w:hint="eastAsia"/>
          <w:color w:val="auto"/>
          <w:lang w:val="zh-CN"/>
        </w:rPr>
        <w:t>）</w:t>
      </w:r>
      <w:r>
        <w:rPr>
          <w:color w:val="auto"/>
          <w:lang w:val="zh-CN"/>
        </w:rPr>
        <w:t>、《医疗废物焚烧环境卫生标准》</w:t>
      </w:r>
      <w:r>
        <w:rPr>
          <w:rFonts w:hint="eastAsia"/>
          <w:color w:val="auto"/>
          <w:lang w:val="zh-CN"/>
        </w:rPr>
        <w:t>（</w:t>
      </w:r>
      <w:r>
        <w:rPr>
          <w:color w:val="auto"/>
          <w:lang w:val="zh-CN"/>
        </w:rPr>
        <w:t>GB/T 18773</w:t>
      </w:r>
      <w:r>
        <w:rPr>
          <w:rFonts w:hint="eastAsia"/>
          <w:color w:val="auto"/>
          <w:lang w:val="zh-CN"/>
        </w:rPr>
        <w:t>）</w:t>
      </w:r>
      <w:r>
        <w:rPr>
          <w:color w:val="auto"/>
          <w:lang w:val="zh-CN"/>
        </w:rPr>
        <w:t>、《医疗废物处理处置污染防治最佳可行技术指南(试行)》</w:t>
      </w:r>
      <w:r>
        <w:rPr>
          <w:rFonts w:hint="eastAsia"/>
          <w:color w:val="auto"/>
          <w:lang w:val="zh-CN"/>
        </w:rPr>
        <w:t>（</w:t>
      </w:r>
      <w:r>
        <w:rPr>
          <w:color w:val="auto"/>
          <w:lang w:val="zh-CN"/>
        </w:rPr>
        <w:t>J-BAT-8</w:t>
      </w:r>
      <w:r>
        <w:rPr>
          <w:rFonts w:hint="eastAsia"/>
          <w:color w:val="auto"/>
          <w:lang w:val="zh-CN"/>
        </w:rPr>
        <w:t>）</w:t>
      </w:r>
      <w:r>
        <w:rPr>
          <w:color w:val="auto"/>
          <w:lang w:val="zh-CN"/>
        </w:rPr>
        <w:t>等，则从污染物控制角度对行业技术加以限定，促进行业技术优化发展。《医疗废物处理处置污染控制标准》</w:t>
      </w:r>
      <w:r>
        <w:rPr>
          <w:rFonts w:hint="eastAsia"/>
          <w:color w:val="auto"/>
          <w:lang w:val="zh-CN"/>
        </w:rPr>
        <w:t>（</w:t>
      </w:r>
      <w:r>
        <w:rPr>
          <w:color w:val="auto"/>
          <w:lang w:val="zh-CN"/>
        </w:rPr>
        <w:t>GB 39707</w:t>
      </w:r>
      <w:r>
        <w:rPr>
          <w:rFonts w:hint="eastAsia"/>
          <w:color w:val="auto"/>
          <w:lang w:val="zh-CN"/>
        </w:rPr>
        <w:t>）</w:t>
      </w:r>
      <w:r>
        <w:rPr>
          <w:color w:val="auto"/>
          <w:lang w:val="zh-CN"/>
        </w:rPr>
        <w:t>于2021年7月1日正式实施后，将医疗废物从危险废物中独立出来，对其处置过程的污染进行严格把控。</w:t>
      </w:r>
    </w:p>
    <w:p>
      <w:pPr>
        <w:pStyle w:val="32"/>
        <w:ind w:firstLine="480"/>
        <w:rPr>
          <w:color w:val="auto"/>
        </w:rPr>
      </w:pPr>
      <w:r>
        <w:rPr>
          <w:color w:val="auto"/>
        </w:rPr>
        <w:t>针对我国目前现有常用的几种医疗废物</w:t>
      </w:r>
      <w:r>
        <w:rPr>
          <w:rFonts w:hint="eastAsia"/>
          <w:color w:val="auto"/>
        </w:rPr>
        <w:t>处理</w:t>
      </w:r>
      <w:r>
        <w:rPr>
          <w:color w:val="auto"/>
        </w:rPr>
        <w:t>处置技术及其相关设备设施，国家环保部门于2003年开始相继制定相应的技术规范，如《医疗废物集中处置技术规范（试行）》（环发[2003]206号）、《医疗废物高温蒸汽集中处理工程技术规范(试行)》(HJ/T 276-2006)、《医疗废物化学消毒集中处理工程技术规范(试行)》(HJ/T 228-2006)、《医疗废物微波消毒集中处理工程技术规范(试行)》(HJ/T 229-2006)、《医疗废物集中焚烧处置工程建设技术规范》（HJ 177-20</w:t>
      </w:r>
      <w:r>
        <w:rPr>
          <w:rFonts w:hint="eastAsia"/>
          <w:color w:val="auto"/>
          <w:lang w:val="en-US" w:eastAsia="zh-CN"/>
        </w:rPr>
        <w:t>23</w:t>
      </w:r>
      <w:r>
        <w:rPr>
          <w:color w:val="auto"/>
        </w:rPr>
        <w:t>），</w:t>
      </w:r>
      <w:r>
        <w:rPr>
          <w:color w:val="auto"/>
          <w:lang w:val="zh-CN"/>
        </w:rPr>
        <w:t>对不同医废处置技术及医废处置工程的设计、建设、运行、管理等环节做了详细的要求和规范，为医废处置行业的健康发展构建规范的环境</w:t>
      </w:r>
      <w:r>
        <w:rPr>
          <w:rFonts w:hint="eastAsia"/>
          <w:color w:val="auto"/>
          <w:lang w:val="zh-CN"/>
        </w:rPr>
        <w:t>，</w:t>
      </w:r>
      <w:r>
        <w:rPr>
          <w:color w:val="auto"/>
        </w:rPr>
        <w:t>针对部分技术规范</w:t>
      </w:r>
      <w:r>
        <w:rPr>
          <w:rFonts w:hint="eastAsia"/>
          <w:color w:val="auto"/>
        </w:rPr>
        <w:t>中的</w:t>
      </w:r>
      <w:r>
        <w:rPr>
          <w:color w:val="auto"/>
        </w:rPr>
        <w:t>不足和短缺</w:t>
      </w:r>
      <w:r>
        <w:rPr>
          <w:rFonts w:hint="eastAsia"/>
          <w:color w:val="auto"/>
        </w:rPr>
        <w:t>国家相关部门对其展开</w:t>
      </w:r>
      <w:r>
        <w:rPr>
          <w:color w:val="auto"/>
        </w:rPr>
        <w:t>修订和完善</w:t>
      </w:r>
      <w:r>
        <w:rPr>
          <w:rFonts w:hint="eastAsia"/>
          <w:color w:val="auto"/>
        </w:rPr>
        <w:t>工作，并形成《医疗废物高温蒸汽消毒集中处理工程技术规范》（</w:t>
      </w:r>
      <w:r>
        <w:rPr>
          <w:color w:val="auto"/>
        </w:rPr>
        <w:t>HJ 276-2021</w:t>
      </w:r>
      <w:r>
        <w:rPr>
          <w:rFonts w:hint="eastAsia"/>
          <w:color w:val="auto"/>
        </w:rPr>
        <w:t>）、《医疗废物化学消毒集中处理工程技术规范》（</w:t>
      </w:r>
      <w:r>
        <w:rPr>
          <w:color w:val="auto"/>
        </w:rPr>
        <w:t>HJ 228-2021</w:t>
      </w:r>
      <w:r>
        <w:rPr>
          <w:rFonts w:hint="eastAsia"/>
          <w:color w:val="auto"/>
        </w:rPr>
        <w:t>）、《医疗废物微波消毒集中处理工程技术规范》（</w:t>
      </w:r>
      <w:r>
        <w:rPr>
          <w:color w:val="auto"/>
        </w:rPr>
        <w:t>HJ 229-2021</w:t>
      </w:r>
      <w:r>
        <w:rPr>
          <w:rFonts w:hint="eastAsia"/>
          <w:color w:val="auto"/>
        </w:rPr>
        <w:t>）于2021年陆续正式发布</w:t>
      </w:r>
      <w:r>
        <w:rPr>
          <w:color w:val="auto"/>
        </w:rPr>
        <w:t>。</w:t>
      </w:r>
      <w:r>
        <w:rPr>
          <w:rFonts w:hint="eastAsia"/>
          <w:color w:val="auto"/>
        </w:rPr>
        <w:t>《</w:t>
      </w:r>
      <w:r>
        <w:rPr>
          <w:color w:val="auto"/>
        </w:rPr>
        <w:t>医疗废物集中焚烧处置工程建设技术规范</w:t>
      </w:r>
      <w:r>
        <w:rPr>
          <w:rFonts w:hint="eastAsia"/>
          <w:color w:val="auto"/>
        </w:rPr>
        <w:t>》（征求意见稿）也在原有规范基础上做了大量修订和完善。</w:t>
      </w:r>
    </w:p>
    <w:p>
      <w:pPr>
        <w:pStyle w:val="32"/>
        <w:ind w:firstLine="480"/>
        <w:rPr>
          <w:color w:val="auto"/>
          <w:lang w:val="zh-CN"/>
        </w:rPr>
      </w:pPr>
      <w:r>
        <w:rPr>
          <w:rFonts w:hint="eastAsia"/>
          <w:color w:val="auto"/>
        </w:rPr>
        <w:t>针对医疗废物消毒处理和焚烧处置过程中产生的二次废物，关联标准有针对性释义：</w:t>
      </w:r>
    </w:p>
    <w:p>
      <w:pPr>
        <w:pStyle w:val="32"/>
        <w:ind w:firstLine="480"/>
        <w:rPr>
          <w:color w:val="auto"/>
          <w:lang w:val="zh-CN"/>
        </w:rPr>
      </w:pPr>
      <w:r>
        <w:rPr>
          <w:color w:val="auto"/>
          <w:lang w:val="zh-CN"/>
        </w:rPr>
        <w:t>1</w:t>
      </w:r>
      <w:r>
        <w:rPr>
          <w:rFonts w:hint="eastAsia"/>
          <w:color w:val="auto"/>
          <w:lang w:val="zh-CN"/>
        </w:rPr>
        <w:t>）《生活垃圾焚烧污染控制标准》（</w:t>
      </w:r>
      <w:r>
        <w:rPr>
          <w:color w:val="auto"/>
          <w:lang w:val="zh-CN"/>
        </w:rPr>
        <w:t>GB 18485</w:t>
      </w:r>
      <w:r>
        <w:rPr>
          <w:rFonts w:hint="eastAsia"/>
          <w:color w:val="auto"/>
          <w:lang w:val="zh-CN"/>
        </w:rPr>
        <w:t>）规定“按照</w:t>
      </w:r>
      <w:r>
        <w:rPr>
          <w:color w:val="auto"/>
          <w:lang w:val="zh-CN"/>
        </w:rPr>
        <w:t>HJ/T228</w:t>
      </w:r>
      <w:r>
        <w:rPr>
          <w:rFonts w:hint="eastAsia"/>
          <w:color w:val="auto"/>
          <w:lang w:val="zh-CN"/>
        </w:rPr>
        <w:t>、</w:t>
      </w:r>
      <w:r>
        <w:rPr>
          <w:color w:val="auto"/>
          <w:lang w:val="zh-CN"/>
        </w:rPr>
        <w:t>HJ/T229</w:t>
      </w:r>
      <w:r>
        <w:rPr>
          <w:rFonts w:hint="eastAsia"/>
          <w:color w:val="auto"/>
          <w:lang w:val="zh-CN"/>
        </w:rPr>
        <w:t>、</w:t>
      </w:r>
      <w:r>
        <w:rPr>
          <w:color w:val="auto"/>
          <w:lang w:val="zh-CN"/>
        </w:rPr>
        <w:t>HJ/T276</w:t>
      </w:r>
      <w:r>
        <w:rPr>
          <w:rFonts w:hint="eastAsia"/>
          <w:color w:val="auto"/>
          <w:lang w:val="zh-CN"/>
        </w:rPr>
        <w:t>要求进行破碎毁形和消毒处理并满足消毒效果检验指标的《医疗废物分类目录》中的感染性废物”（现行版本分别为</w:t>
      </w:r>
      <w:r>
        <w:rPr>
          <w:color w:val="auto"/>
        </w:rPr>
        <w:t>HJ 276-2021</w:t>
      </w:r>
      <w:r>
        <w:rPr>
          <w:rFonts w:hint="eastAsia"/>
          <w:color w:val="auto"/>
        </w:rPr>
        <w:t>、</w:t>
      </w:r>
      <w:r>
        <w:rPr>
          <w:color w:val="auto"/>
        </w:rPr>
        <w:t>HJ 228-2021</w:t>
      </w:r>
      <w:r>
        <w:rPr>
          <w:rFonts w:hint="eastAsia"/>
          <w:color w:val="auto"/>
        </w:rPr>
        <w:t>、</w:t>
      </w:r>
      <w:r>
        <w:rPr>
          <w:color w:val="auto"/>
        </w:rPr>
        <w:t>HJ 229-2021</w:t>
      </w:r>
      <w:r>
        <w:rPr>
          <w:rFonts w:hint="eastAsia"/>
          <w:color w:val="auto"/>
          <w:lang w:val="zh-CN"/>
        </w:rPr>
        <w:t>），可以直接进入生活垃圾焚烧炉进行焚烧处理，而其他类型的医疗废物未列入入炉废物范围内，同时</w:t>
      </w:r>
      <w:r>
        <w:rPr>
          <w:color w:val="auto"/>
          <w:lang w:val="zh-CN"/>
        </w:rPr>
        <w:t>GB18485</w:t>
      </w:r>
      <w:r>
        <w:rPr>
          <w:rFonts w:hint="eastAsia"/>
          <w:color w:val="auto"/>
          <w:lang w:val="zh-CN"/>
        </w:rPr>
        <w:t>中生活垃圾</w:t>
      </w:r>
      <w:r>
        <w:rPr>
          <w:color w:val="auto"/>
          <w:lang w:val="zh-CN"/>
        </w:rPr>
        <w:t>焚烧炉排放烟气中污染物限值，二噁英类限值浓度为0.1ng TEQ/m</w:t>
      </w:r>
      <w:r>
        <w:rPr>
          <w:color w:val="auto"/>
          <w:vertAlign w:val="superscript"/>
          <w:lang w:val="zh-CN"/>
        </w:rPr>
        <w:t>3</w:t>
      </w:r>
      <w:r>
        <w:rPr>
          <w:color w:val="auto"/>
          <w:lang w:val="zh-CN"/>
        </w:rPr>
        <w:t>（测定均值）</w:t>
      </w:r>
      <w:r>
        <w:rPr>
          <w:rFonts w:hint="eastAsia"/>
          <w:color w:val="auto"/>
          <w:lang w:val="zh-CN"/>
        </w:rPr>
        <w:t>；</w:t>
      </w:r>
    </w:p>
    <w:p>
      <w:pPr>
        <w:pStyle w:val="32"/>
        <w:ind w:firstLine="480"/>
        <w:rPr>
          <w:color w:val="auto"/>
          <w:lang w:val="zh-CN"/>
        </w:rPr>
      </w:pPr>
      <w:r>
        <w:rPr>
          <w:color w:val="auto"/>
          <w:lang w:val="zh-CN"/>
        </w:rPr>
        <w:t>2</w:t>
      </w:r>
      <w:r>
        <w:rPr>
          <w:rFonts w:hint="eastAsia"/>
          <w:color w:val="auto"/>
          <w:lang w:val="zh-CN"/>
        </w:rPr>
        <w:t>）《生活垃圾填埋场污染控制标准》（</w:t>
      </w:r>
      <w:r>
        <w:rPr>
          <w:color w:val="auto"/>
          <w:lang w:val="zh-CN"/>
        </w:rPr>
        <w:t>GB 16889</w:t>
      </w:r>
      <w:r>
        <w:rPr>
          <w:rFonts w:hint="eastAsia"/>
          <w:color w:val="auto"/>
          <w:lang w:val="zh-CN"/>
        </w:rPr>
        <w:t>）规定“《医疗废物分类目录》中感染性废物”按照</w:t>
      </w:r>
      <w:r>
        <w:rPr>
          <w:color w:val="auto"/>
          <w:lang w:val="zh-CN"/>
        </w:rPr>
        <w:t>HJ/T228</w:t>
      </w:r>
      <w:r>
        <w:rPr>
          <w:rFonts w:hint="eastAsia"/>
          <w:color w:val="auto"/>
          <w:lang w:val="zh-CN"/>
        </w:rPr>
        <w:t>、</w:t>
      </w:r>
      <w:r>
        <w:rPr>
          <w:color w:val="auto"/>
          <w:lang w:val="zh-CN"/>
        </w:rPr>
        <w:t>HJ/T229</w:t>
      </w:r>
      <w:r>
        <w:rPr>
          <w:rFonts w:hint="eastAsia"/>
          <w:color w:val="auto"/>
          <w:lang w:val="zh-CN"/>
        </w:rPr>
        <w:t>、</w:t>
      </w:r>
      <w:r>
        <w:rPr>
          <w:color w:val="auto"/>
          <w:lang w:val="zh-CN"/>
        </w:rPr>
        <w:t>HJ/T276</w:t>
      </w:r>
      <w:r>
        <w:rPr>
          <w:rFonts w:hint="eastAsia"/>
          <w:color w:val="auto"/>
          <w:lang w:val="zh-CN"/>
        </w:rPr>
        <w:t>要求进行破碎毁形和消毒处理并满足消毒效果检验指标，可以进入生活垃圾填埋场填埋处置，同样的，其他类型的医疗废物未列入入场填埋范围内；医疗废物焚烧残渣（包括飞灰、底渣）经处理满足一定条件，可以进入生活垃圾填埋场填埋处置；</w:t>
      </w:r>
    </w:p>
    <w:p>
      <w:pPr>
        <w:pStyle w:val="32"/>
        <w:ind w:firstLine="480"/>
        <w:rPr>
          <w:color w:val="auto"/>
          <w:lang w:val="zh-CN"/>
        </w:rPr>
      </w:pPr>
      <w:r>
        <w:rPr>
          <w:color w:val="auto"/>
          <w:lang w:val="zh-CN"/>
        </w:rPr>
        <w:t>3</w:t>
      </w:r>
      <w:r>
        <w:rPr>
          <w:rFonts w:hint="eastAsia"/>
          <w:color w:val="auto"/>
          <w:lang w:val="zh-CN"/>
        </w:rPr>
        <w:t>）《水泥窑协同处置固体废物污染防治技术政策》中指出，“利用水泥窑协同处置医疗废物，必须满足《水泥窑协同处置固体废物环境保护技术规范》（</w:t>
      </w:r>
      <w:r>
        <w:rPr>
          <w:color w:val="auto"/>
          <w:lang w:val="zh-CN"/>
        </w:rPr>
        <w:t>HJ662-2013</w:t>
      </w:r>
      <w:r>
        <w:rPr>
          <w:rFonts w:hint="eastAsia"/>
          <w:color w:val="auto"/>
          <w:lang w:val="zh-CN"/>
        </w:rPr>
        <w:t>）的相关要求”，而《水泥窑协同处置固体废物技术规范》（</w:t>
      </w:r>
      <w:r>
        <w:rPr>
          <w:color w:val="auto"/>
          <w:lang w:val="zh-CN"/>
        </w:rPr>
        <w:t>GB30760-2014</w:t>
      </w:r>
      <w:r>
        <w:rPr>
          <w:rFonts w:hint="eastAsia"/>
          <w:color w:val="auto"/>
          <w:lang w:val="zh-CN"/>
        </w:rPr>
        <w:t>）中“不应协同处置的废物”中却包括“具有传染性、爆炸性及反应性废物”，意味着具有传染性的废物不应被水泥窑协同处置；</w:t>
      </w:r>
    </w:p>
    <w:p>
      <w:pPr>
        <w:pStyle w:val="32"/>
        <w:ind w:firstLine="480"/>
        <w:rPr>
          <w:color w:val="auto"/>
          <w:lang w:val="zh-CN"/>
        </w:rPr>
      </w:pPr>
      <w:r>
        <w:rPr>
          <w:color w:val="auto"/>
          <w:lang w:val="zh-CN"/>
        </w:rPr>
        <w:t>4</w:t>
      </w:r>
      <w:r>
        <w:rPr>
          <w:rFonts w:hint="eastAsia"/>
          <w:color w:val="auto"/>
          <w:lang w:val="zh-CN"/>
        </w:rPr>
        <w:t>）部分省市地区对医疗废物协同处置有单独要求，如</w:t>
      </w:r>
      <w:r>
        <w:rPr>
          <w:color w:val="auto"/>
        </w:rPr>
        <w:t>上海市地方标准《生活垃圾焚烧大气污染物排放标准》</w:t>
      </w:r>
      <w:r>
        <w:rPr>
          <w:rFonts w:hint="eastAsia"/>
          <w:color w:val="auto"/>
        </w:rPr>
        <w:t>（</w:t>
      </w:r>
      <w:r>
        <w:rPr>
          <w:color w:val="auto"/>
        </w:rPr>
        <w:t>DB31/768-2013</w:t>
      </w:r>
      <w:r>
        <w:rPr>
          <w:rFonts w:hint="eastAsia"/>
          <w:color w:val="auto"/>
        </w:rPr>
        <w:t>）</w:t>
      </w:r>
      <w:r>
        <w:rPr>
          <w:color w:val="auto"/>
        </w:rPr>
        <w:t>规定</w:t>
      </w:r>
      <w:r>
        <w:rPr>
          <w:rFonts w:hint="eastAsia"/>
          <w:color w:val="auto"/>
        </w:rPr>
        <w:t>“</w:t>
      </w:r>
      <w:r>
        <w:rPr>
          <w:color w:val="auto"/>
        </w:rPr>
        <w:t>在应急状态下，除化学性废物以外的医疗废物在经过技术论证并获相关管理部门批准后可以与生活垃圾共同焚烧处理。医疗废物共焚烧处理量不应超过生活垃圾焚烧设施处理能力的5%，并应严格按HJ</w:t>
      </w:r>
      <w:r>
        <w:rPr>
          <w:rFonts w:hint="eastAsia"/>
          <w:color w:val="auto"/>
          <w:lang w:val="en-US" w:eastAsia="zh-CN"/>
        </w:rPr>
        <w:t xml:space="preserve"> </w:t>
      </w:r>
      <w:r>
        <w:rPr>
          <w:color w:val="auto"/>
        </w:rPr>
        <w:t>177执行</w:t>
      </w:r>
      <w:r>
        <w:rPr>
          <w:rFonts w:hint="eastAsia"/>
          <w:color w:val="auto"/>
        </w:rPr>
        <w:t>”</w:t>
      </w:r>
      <w:r>
        <w:rPr>
          <w:color w:val="auto"/>
        </w:rPr>
        <w:t>。</w:t>
      </w:r>
    </w:p>
    <w:p>
      <w:pPr>
        <w:pStyle w:val="4"/>
        <w:rPr>
          <w:rFonts w:cs="Times New Roman"/>
          <w:color w:val="auto"/>
          <w:lang w:val="zh-CN"/>
        </w:rPr>
      </w:pPr>
      <w:bookmarkStart w:id="113" w:name="_Toc25539"/>
      <w:r>
        <w:rPr>
          <w:rFonts w:hint="eastAsia" w:cs="Times New Roman"/>
          <w:color w:val="auto"/>
          <w:lang w:val="zh-CN"/>
        </w:rPr>
        <w:t>豁免管理</w:t>
      </w:r>
      <w:bookmarkEnd w:id="113"/>
    </w:p>
    <w:p>
      <w:pPr>
        <w:pStyle w:val="32"/>
        <w:ind w:firstLine="480"/>
        <w:rPr>
          <w:color w:val="auto"/>
          <w:lang w:val="zh-CN"/>
        </w:rPr>
      </w:pPr>
      <w:r>
        <w:rPr>
          <w:rFonts w:hint="eastAsia"/>
          <w:color w:val="auto"/>
        </w:rPr>
        <w:t>根据</w:t>
      </w:r>
      <w:r>
        <w:rPr>
          <w:color w:val="auto"/>
        </w:rPr>
        <w:t>GB39707</w:t>
      </w:r>
      <w:r>
        <w:rPr>
          <w:rFonts w:hint="eastAsia"/>
          <w:color w:val="auto"/>
        </w:rPr>
        <w:t>中要求，“应根据《国家危险废物名录》和国家危险废物鉴别标准等规定判定经消毒处理的医疗废物和消毒处理产生的其他固体废物的危险废物属性”；“焚烧设施产生的焚烧残渣、焚烧飞灰、废水处理污泥及其他固体废物，应根据《国家危险废物名录》和国家规定的危险废物鉴别标准等进行属性判定”。</w:t>
      </w:r>
      <w:r>
        <w:rPr>
          <w:rFonts w:hint="eastAsia"/>
          <w:color w:val="auto"/>
          <w:lang w:val="zh-CN"/>
        </w:rPr>
        <w:t>根据医疗废物的特殊性和不同情况下处理处置过程中可以采取的应对措施，</w:t>
      </w:r>
      <w:r>
        <w:rPr>
          <w:color w:val="auto"/>
          <w:lang w:val="zh-CN"/>
        </w:rPr>
        <w:t>最新的《国家危险废物名录》（2021年版）危险废物豁免管理清单，</w:t>
      </w:r>
      <w:r>
        <w:rPr>
          <w:rFonts w:hint="eastAsia"/>
          <w:color w:val="auto"/>
          <w:lang w:val="zh-CN"/>
        </w:rPr>
        <w:t>对医疗废物收运和处置过程中的部分环节予以</w:t>
      </w:r>
      <w:r>
        <w:rPr>
          <w:color w:val="auto"/>
          <w:lang w:val="zh-CN"/>
        </w:rPr>
        <w:t>豁免</w:t>
      </w:r>
      <w:r>
        <w:rPr>
          <w:rFonts w:hint="eastAsia"/>
          <w:color w:val="auto"/>
          <w:lang w:val="zh-CN"/>
        </w:rPr>
        <w:t>，具体如下表所示。</w:t>
      </w:r>
    </w:p>
    <w:p>
      <w:pPr>
        <w:pStyle w:val="23"/>
        <w:numPr>
          <w:ilvl w:val="0"/>
          <w:numId w:val="14"/>
        </w:numPr>
        <w:spacing w:line="336" w:lineRule="auto"/>
        <w:ind w:firstLineChars="0"/>
        <w:jc w:val="center"/>
        <w:rPr>
          <w:rFonts w:ascii="Times New Roman" w:hAnsi="Times New Roman" w:eastAsia="宋体" w:cs="Times New Roman"/>
          <w:b/>
          <w:color w:val="auto"/>
          <w:kern w:val="0"/>
          <w:szCs w:val="21"/>
        </w:rPr>
      </w:pPr>
      <w:r>
        <w:rPr>
          <w:rFonts w:hint="eastAsia" w:ascii="Times New Roman" w:hAnsi="Times New Roman" w:eastAsia="宋体" w:cs="Times New Roman"/>
          <w:b/>
          <w:color w:val="auto"/>
          <w:kern w:val="0"/>
          <w:szCs w:val="21"/>
        </w:rPr>
        <w:t>国家危险废物名录中关于医疗废物豁免的规定</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96"/>
        <w:gridCol w:w="1797"/>
        <w:gridCol w:w="821"/>
        <w:gridCol w:w="3366"/>
        <w:gridCol w:w="13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91" w:type="dxa"/>
            <w:vAlign w:val="center"/>
          </w:tcPr>
          <w:p>
            <w:pPr>
              <w:adjustRightInd w:val="0"/>
              <w:snapToGrid w:val="0"/>
              <w:jc w:val="center"/>
              <w:rPr>
                <w:rFonts w:ascii="Times New Roman" w:hAnsi="Times New Roman" w:eastAsia="宋体" w:cs="Times New Roman"/>
                <w:b/>
                <w:color w:val="auto"/>
                <w:kern w:val="0"/>
                <w:sz w:val="21"/>
                <w:szCs w:val="21"/>
              </w:rPr>
            </w:pPr>
            <w:r>
              <w:rPr>
                <w:rFonts w:hint="eastAsia" w:ascii="Times New Roman" w:hAnsi="Times New Roman" w:eastAsia="宋体" w:cs="Times New Roman"/>
                <w:b/>
                <w:color w:val="auto"/>
                <w:kern w:val="0"/>
                <w:sz w:val="21"/>
                <w:szCs w:val="21"/>
              </w:rPr>
              <w:t>废物类别</w:t>
            </w:r>
            <w:r>
              <w:rPr>
                <w:rFonts w:ascii="Times New Roman" w:hAnsi="Times New Roman" w:eastAsia="宋体" w:cs="Times New Roman"/>
                <w:b/>
                <w:color w:val="auto"/>
                <w:kern w:val="0"/>
                <w:sz w:val="21"/>
                <w:szCs w:val="21"/>
              </w:rPr>
              <w:t>/</w:t>
            </w:r>
            <w:r>
              <w:rPr>
                <w:rFonts w:hint="eastAsia" w:ascii="Times New Roman" w:hAnsi="Times New Roman" w:eastAsia="宋体" w:cs="Times New Roman"/>
                <w:b/>
                <w:color w:val="auto"/>
                <w:kern w:val="0"/>
                <w:sz w:val="21"/>
                <w:szCs w:val="21"/>
              </w:rPr>
              <w:t>代码</w:t>
            </w:r>
          </w:p>
        </w:tc>
        <w:tc>
          <w:tcPr>
            <w:tcW w:w="1820" w:type="dxa"/>
            <w:vAlign w:val="center"/>
          </w:tcPr>
          <w:p>
            <w:pPr>
              <w:adjustRightInd w:val="0"/>
              <w:snapToGrid w:val="0"/>
              <w:jc w:val="center"/>
              <w:rPr>
                <w:rFonts w:ascii="Times New Roman" w:hAnsi="Times New Roman" w:eastAsia="宋体" w:cs="Times New Roman"/>
                <w:b/>
                <w:color w:val="auto"/>
                <w:kern w:val="0"/>
                <w:sz w:val="21"/>
                <w:szCs w:val="21"/>
              </w:rPr>
            </w:pPr>
            <w:r>
              <w:rPr>
                <w:rFonts w:hint="eastAsia" w:ascii="Times New Roman" w:hAnsi="Times New Roman" w:eastAsia="宋体" w:cs="Times New Roman"/>
                <w:b/>
                <w:color w:val="auto"/>
                <w:kern w:val="0"/>
                <w:sz w:val="21"/>
                <w:szCs w:val="21"/>
              </w:rPr>
              <w:t>危险废物</w:t>
            </w:r>
          </w:p>
        </w:tc>
        <w:tc>
          <w:tcPr>
            <w:tcW w:w="828" w:type="dxa"/>
            <w:vAlign w:val="center"/>
          </w:tcPr>
          <w:p>
            <w:pPr>
              <w:adjustRightInd w:val="0"/>
              <w:snapToGrid w:val="0"/>
              <w:jc w:val="center"/>
              <w:rPr>
                <w:rFonts w:ascii="Times New Roman" w:hAnsi="Times New Roman" w:eastAsia="宋体" w:cs="Times New Roman"/>
                <w:b/>
                <w:color w:val="auto"/>
                <w:kern w:val="0"/>
                <w:sz w:val="21"/>
                <w:szCs w:val="21"/>
              </w:rPr>
            </w:pPr>
            <w:r>
              <w:rPr>
                <w:rFonts w:hint="eastAsia" w:ascii="Times New Roman" w:hAnsi="Times New Roman" w:eastAsia="宋体" w:cs="Times New Roman"/>
                <w:b/>
                <w:color w:val="auto"/>
                <w:kern w:val="0"/>
                <w:sz w:val="21"/>
                <w:szCs w:val="21"/>
              </w:rPr>
              <w:t>豁免环节</w:t>
            </w:r>
          </w:p>
        </w:tc>
        <w:tc>
          <w:tcPr>
            <w:tcW w:w="3402" w:type="dxa"/>
            <w:vAlign w:val="center"/>
          </w:tcPr>
          <w:p>
            <w:pPr>
              <w:adjustRightInd w:val="0"/>
              <w:snapToGrid w:val="0"/>
              <w:jc w:val="center"/>
              <w:rPr>
                <w:rFonts w:ascii="Times New Roman" w:hAnsi="Times New Roman" w:eastAsia="宋体" w:cs="Times New Roman"/>
                <w:b/>
                <w:color w:val="auto"/>
                <w:kern w:val="0"/>
                <w:sz w:val="21"/>
                <w:szCs w:val="21"/>
              </w:rPr>
            </w:pPr>
            <w:r>
              <w:rPr>
                <w:rFonts w:hint="eastAsia" w:ascii="Times New Roman" w:hAnsi="Times New Roman" w:eastAsia="宋体" w:cs="Times New Roman"/>
                <w:b/>
                <w:color w:val="auto"/>
                <w:kern w:val="0"/>
                <w:sz w:val="21"/>
                <w:szCs w:val="21"/>
              </w:rPr>
              <w:t>豁免条件</w:t>
            </w:r>
          </w:p>
        </w:tc>
        <w:tc>
          <w:tcPr>
            <w:tcW w:w="1355" w:type="dxa"/>
            <w:vAlign w:val="center"/>
          </w:tcPr>
          <w:p>
            <w:pPr>
              <w:adjustRightInd w:val="0"/>
              <w:snapToGrid w:val="0"/>
              <w:jc w:val="center"/>
              <w:rPr>
                <w:rFonts w:ascii="Times New Roman" w:hAnsi="Times New Roman" w:eastAsia="宋体" w:cs="Times New Roman"/>
                <w:b/>
                <w:color w:val="auto"/>
                <w:kern w:val="0"/>
                <w:sz w:val="21"/>
                <w:szCs w:val="21"/>
              </w:rPr>
            </w:pPr>
            <w:r>
              <w:rPr>
                <w:rFonts w:hint="eastAsia" w:ascii="Times New Roman" w:hAnsi="Times New Roman" w:eastAsia="宋体" w:cs="Times New Roman"/>
                <w:b/>
                <w:color w:val="auto"/>
                <w:kern w:val="0"/>
                <w:sz w:val="21"/>
                <w:szCs w:val="21"/>
              </w:rPr>
              <w:t>豁免内容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91" w:type="dxa"/>
            <w:vMerge w:val="restart"/>
            <w:vAlign w:val="center"/>
          </w:tcPr>
          <w:p>
            <w:pPr>
              <w:adjustRightInd w:val="0"/>
              <w:snapToGrid w:val="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HW01</w:t>
            </w:r>
          </w:p>
        </w:tc>
        <w:tc>
          <w:tcPr>
            <w:tcW w:w="1820" w:type="dxa"/>
            <w:vMerge w:val="restart"/>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床位总数在</w:t>
            </w:r>
            <w:r>
              <w:rPr>
                <w:rFonts w:ascii="Times New Roman" w:hAnsi="Times New Roman" w:eastAsia="宋体" w:cs="Times New Roman"/>
                <w:color w:val="auto"/>
                <w:kern w:val="0"/>
                <w:sz w:val="21"/>
                <w:szCs w:val="21"/>
              </w:rPr>
              <w:t>19</w:t>
            </w:r>
            <w:r>
              <w:rPr>
                <w:rFonts w:hint="eastAsia" w:ascii="Times New Roman" w:hAnsi="Times New Roman" w:eastAsia="宋体" w:cs="Times New Roman"/>
                <w:color w:val="auto"/>
                <w:kern w:val="0"/>
                <w:sz w:val="21"/>
                <w:szCs w:val="21"/>
              </w:rPr>
              <w:t>张以下（含</w:t>
            </w:r>
            <w:r>
              <w:rPr>
                <w:rFonts w:ascii="Times New Roman" w:hAnsi="Times New Roman" w:eastAsia="宋体" w:cs="Times New Roman"/>
                <w:color w:val="auto"/>
                <w:kern w:val="0"/>
                <w:sz w:val="21"/>
                <w:szCs w:val="21"/>
              </w:rPr>
              <w:t>19</w:t>
            </w:r>
            <w:r>
              <w:rPr>
                <w:rFonts w:hint="eastAsia" w:ascii="Times New Roman" w:hAnsi="Times New Roman" w:eastAsia="宋体" w:cs="Times New Roman"/>
                <w:color w:val="auto"/>
                <w:kern w:val="0"/>
                <w:sz w:val="21"/>
                <w:szCs w:val="21"/>
              </w:rPr>
              <w:t>张）的医疗机构产生的医疗废物（重大传染病疫情期间产生的医疗废物除外）</w:t>
            </w:r>
          </w:p>
        </w:tc>
        <w:tc>
          <w:tcPr>
            <w:tcW w:w="828" w:type="dxa"/>
            <w:vAlign w:val="center"/>
          </w:tcPr>
          <w:p>
            <w:pPr>
              <w:adjustRightInd w:val="0"/>
              <w:snapToGrid w:val="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收集</w:t>
            </w:r>
          </w:p>
        </w:tc>
        <w:tc>
          <w:tcPr>
            <w:tcW w:w="3402" w:type="dxa"/>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按《医疗卫生机构医疗废物管理管理办法》等规定进行消毒和收集。</w:t>
            </w:r>
          </w:p>
        </w:tc>
        <w:tc>
          <w:tcPr>
            <w:tcW w:w="1355" w:type="dxa"/>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收集过程不按危险废物管理。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91" w:type="dxa"/>
            <w:vMerge w:val="continue"/>
            <w:vAlign w:val="center"/>
          </w:tcPr>
          <w:p>
            <w:pPr>
              <w:adjustRightInd w:val="0"/>
              <w:snapToGrid w:val="0"/>
              <w:jc w:val="center"/>
              <w:rPr>
                <w:rFonts w:ascii="Times New Roman" w:hAnsi="Times New Roman" w:eastAsia="宋体" w:cs="Times New Roman"/>
                <w:color w:val="auto"/>
                <w:kern w:val="0"/>
                <w:sz w:val="21"/>
                <w:szCs w:val="21"/>
              </w:rPr>
            </w:pPr>
          </w:p>
        </w:tc>
        <w:tc>
          <w:tcPr>
            <w:tcW w:w="1820" w:type="dxa"/>
            <w:vMerge w:val="continue"/>
            <w:vAlign w:val="center"/>
          </w:tcPr>
          <w:p>
            <w:pPr>
              <w:adjustRightInd w:val="0"/>
              <w:snapToGrid w:val="0"/>
              <w:rPr>
                <w:rFonts w:ascii="Times New Roman" w:hAnsi="Times New Roman" w:eastAsia="宋体" w:cs="Times New Roman"/>
                <w:color w:val="auto"/>
                <w:kern w:val="0"/>
                <w:sz w:val="21"/>
                <w:szCs w:val="21"/>
              </w:rPr>
            </w:pPr>
          </w:p>
        </w:tc>
        <w:tc>
          <w:tcPr>
            <w:tcW w:w="828" w:type="dxa"/>
            <w:vAlign w:val="center"/>
          </w:tcPr>
          <w:p>
            <w:pPr>
              <w:adjustRightInd w:val="0"/>
              <w:snapToGrid w:val="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运输</w:t>
            </w:r>
          </w:p>
        </w:tc>
        <w:tc>
          <w:tcPr>
            <w:tcW w:w="3402" w:type="dxa"/>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转运车辆符合《医疗废物转运车技术要求（试行）》（</w:t>
            </w:r>
            <w:r>
              <w:rPr>
                <w:rFonts w:ascii="Times New Roman" w:hAnsi="Times New Roman" w:eastAsia="宋体" w:cs="Times New Roman"/>
                <w:color w:val="auto"/>
                <w:kern w:val="0"/>
                <w:sz w:val="21"/>
                <w:szCs w:val="21"/>
              </w:rPr>
              <w:t>GB 19217</w:t>
            </w:r>
            <w:r>
              <w:rPr>
                <w:rFonts w:hint="eastAsia" w:ascii="Times New Roman" w:hAnsi="Times New Roman" w:eastAsia="宋体" w:cs="Times New Roman"/>
                <w:color w:val="auto"/>
                <w:kern w:val="0"/>
                <w:sz w:val="21"/>
                <w:szCs w:val="21"/>
              </w:rPr>
              <w:t>）要求。</w:t>
            </w:r>
          </w:p>
        </w:tc>
        <w:tc>
          <w:tcPr>
            <w:tcW w:w="1355" w:type="dxa"/>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不按危险废物进行运输。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91" w:type="dxa"/>
            <w:vMerge w:val="continue"/>
            <w:vAlign w:val="center"/>
          </w:tcPr>
          <w:p>
            <w:pPr>
              <w:adjustRightInd w:val="0"/>
              <w:snapToGrid w:val="0"/>
              <w:jc w:val="center"/>
              <w:rPr>
                <w:rFonts w:ascii="Times New Roman" w:hAnsi="Times New Roman" w:eastAsia="宋体" w:cs="Times New Roman"/>
                <w:color w:val="auto"/>
                <w:kern w:val="0"/>
                <w:sz w:val="21"/>
                <w:szCs w:val="21"/>
              </w:rPr>
            </w:pPr>
          </w:p>
        </w:tc>
        <w:tc>
          <w:tcPr>
            <w:tcW w:w="1820" w:type="dxa"/>
            <w:vMerge w:val="restart"/>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重大传染病疫情期间产生产生的医疗废物</w:t>
            </w:r>
          </w:p>
        </w:tc>
        <w:tc>
          <w:tcPr>
            <w:tcW w:w="828" w:type="dxa"/>
            <w:vAlign w:val="center"/>
          </w:tcPr>
          <w:p>
            <w:pPr>
              <w:adjustRightInd w:val="0"/>
              <w:snapToGrid w:val="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运输</w:t>
            </w:r>
          </w:p>
        </w:tc>
        <w:tc>
          <w:tcPr>
            <w:tcW w:w="3402" w:type="dxa"/>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按事发地的县级以上人民政府确定的处置方案进行运输。</w:t>
            </w:r>
          </w:p>
        </w:tc>
        <w:tc>
          <w:tcPr>
            <w:tcW w:w="1355" w:type="dxa"/>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不按危险废物进行运输。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91" w:type="dxa"/>
            <w:vMerge w:val="continue"/>
            <w:vAlign w:val="center"/>
          </w:tcPr>
          <w:p>
            <w:pPr>
              <w:adjustRightInd w:val="0"/>
              <w:snapToGrid w:val="0"/>
              <w:jc w:val="center"/>
              <w:rPr>
                <w:rFonts w:ascii="Times New Roman" w:hAnsi="Times New Roman" w:eastAsia="宋体" w:cs="Times New Roman"/>
                <w:color w:val="auto"/>
                <w:kern w:val="0"/>
                <w:sz w:val="21"/>
                <w:szCs w:val="21"/>
              </w:rPr>
            </w:pPr>
          </w:p>
        </w:tc>
        <w:tc>
          <w:tcPr>
            <w:tcW w:w="1820" w:type="dxa"/>
            <w:vMerge w:val="continue"/>
            <w:vAlign w:val="center"/>
          </w:tcPr>
          <w:p>
            <w:pPr>
              <w:adjustRightInd w:val="0"/>
              <w:snapToGrid w:val="0"/>
              <w:rPr>
                <w:rFonts w:ascii="Times New Roman" w:hAnsi="Times New Roman" w:eastAsia="宋体" w:cs="Times New Roman"/>
                <w:color w:val="auto"/>
                <w:kern w:val="0"/>
                <w:sz w:val="21"/>
                <w:szCs w:val="21"/>
              </w:rPr>
            </w:pPr>
          </w:p>
        </w:tc>
        <w:tc>
          <w:tcPr>
            <w:tcW w:w="828" w:type="dxa"/>
            <w:vAlign w:val="center"/>
          </w:tcPr>
          <w:p>
            <w:pPr>
              <w:adjustRightInd w:val="0"/>
              <w:snapToGrid w:val="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处置</w:t>
            </w:r>
          </w:p>
        </w:tc>
        <w:tc>
          <w:tcPr>
            <w:tcW w:w="3402" w:type="dxa"/>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按事发地的县级以上人民政府确定的处置方案进行处置。</w:t>
            </w:r>
          </w:p>
        </w:tc>
        <w:tc>
          <w:tcPr>
            <w:tcW w:w="1355" w:type="dxa"/>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处置过程不按危险废物管理。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91" w:type="dxa"/>
            <w:vMerge w:val="restart"/>
            <w:vAlign w:val="center"/>
          </w:tcPr>
          <w:p>
            <w:pPr>
              <w:adjustRightInd w:val="0"/>
              <w:snapToGrid w:val="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841-001-01</w:t>
            </w:r>
          </w:p>
        </w:tc>
        <w:tc>
          <w:tcPr>
            <w:tcW w:w="1820" w:type="dxa"/>
            <w:vMerge w:val="restart"/>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感染性废物</w:t>
            </w:r>
          </w:p>
        </w:tc>
        <w:tc>
          <w:tcPr>
            <w:tcW w:w="828" w:type="dxa"/>
            <w:vAlign w:val="center"/>
          </w:tcPr>
          <w:p>
            <w:pPr>
              <w:adjustRightInd w:val="0"/>
              <w:snapToGrid w:val="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运输</w:t>
            </w:r>
          </w:p>
        </w:tc>
        <w:tc>
          <w:tcPr>
            <w:tcW w:w="3402" w:type="dxa"/>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按照《医疗废物高温蒸汽集中处理工程技术规范（试行）》（</w:t>
            </w:r>
            <w:r>
              <w:rPr>
                <w:rFonts w:ascii="Times New Roman" w:hAnsi="Times New Roman" w:eastAsia="宋体" w:cs="Times New Roman"/>
                <w:color w:val="auto"/>
                <w:kern w:val="0"/>
                <w:sz w:val="21"/>
                <w:szCs w:val="21"/>
              </w:rPr>
              <w:t>HJ/T276</w:t>
            </w:r>
            <w:r>
              <w:rPr>
                <w:rFonts w:hint="eastAsia" w:ascii="Times New Roman" w:hAnsi="Times New Roman" w:eastAsia="宋体" w:cs="Times New Roman"/>
                <w:color w:val="auto"/>
                <w:kern w:val="0"/>
                <w:sz w:val="21"/>
                <w:szCs w:val="21"/>
              </w:rPr>
              <w:t>）或《医疗废物化学消毒集中处理工程技术规范（试行）》（</w:t>
            </w:r>
            <w:r>
              <w:rPr>
                <w:rFonts w:ascii="Times New Roman" w:hAnsi="Times New Roman" w:eastAsia="宋体" w:cs="Times New Roman"/>
                <w:color w:val="auto"/>
                <w:kern w:val="0"/>
                <w:sz w:val="21"/>
                <w:szCs w:val="21"/>
              </w:rPr>
              <w:t>HJ/T228</w:t>
            </w:r>
            <w:r>
              <w:rPr>
                <w:rFonts w:hint="eastAsia" w:ascii="Times New Roman" w:hAnsi="Times New Roman" w:eastAsia="宋体" w:cs="Times New Roman"/>
                <w:color w:val="auto"/>
                <w:kern w:val="0"/>
                <w:sz w:val="21"/>
                <w:szCs w:val="21"/>
              </w:rPr>
              <w:t>）或《医疗废物微波消毒集中处理工程技术规范（试行）》（</w:t>
            </w:r>
            <w:r>
              <w:rPr>
                <w:rFonts w:ascii="Times New Roman" w:hAnsi="Times New Roman" w:eastAsia="宋体" w:cs="Times New Roman"/>
                <w:color w:val="auto"/>
                <w:kern w:val="0"/>
                <w:sz w:val="21"/>
                <w:szCs w:val="21"/>
              </w:rPr>
              <w:t>HJ/T229</w:t>
            </w:r>
            <w:r>
              <w:rPr>
                <w:rFonts w:hint="eastAsia" w:ascii="Times New Roman" w:hAnsi="Times New Roman" w:eastAsia="宋体" w:cs="Times New Roman"/>
                <w:color w:val="auto"/>
                <w:kern w:val="0"/>
                <w:sz w:val="21"/>
                <w:szCs w:val="21"/>
              </w:rPr>
              <w:t>）进行处理后按生活垃圾运输。</w:t>
            </w:r>
          </w:p>
        </w:tc>
        <w:tc>
          <w:tcPr>
            <w:tcW w:w="1355" w:type="dxa"/>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不按危险废物进行运输。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91" w:type="dxa"/>
            <w:vMerge w:val="continue"/>
            <w:vAlign w:val="center"/>
          </w:tcPr>
          <w:p>
            <w:pPr>
              <w:adjustRightInd w:val="0"/>
              <w:snapToGrid w:val="0"/>
              <w:jc w:val="center"/>
              <w:rPr>
                <w:rFonts w:ascii="Times New Roman" w:hAnsi="Times New Roman" w:eastAsia="宋体" w:cs="Times New Roman"/>
                <w:color w:val="auto"/>
                <w:kern w:val="0"/>
                <w:sz w:val="21"/>
                <w:szCs w:val="21"/>
              </w:rPr>
            </w:pPr>
          </w:p>
        </w:tc>
        <w:tc>
          <w:tcPr>
            <w:tcW w:w="1820" w:type="dxa"/>
            <w:vMerge w:val="continue"/>
            <w:vAlign w:val="center"/>
          </w:tcPr>
          <w:p>
            <w:pPr>
              <w:adjustRightInd w:val="0"/>
              <w:snapToGrid w:val="0"/>
              <w:rPr>
                <w:rFonts w:ascii="Times New Roman" w:hAnsi="Times New Roman" w:eastAsia="宋体" w:cs="Times New Roman"/>
                <w:color w:val="auto"/>
                <w:kern w:val="0"/>
                <w:sz w:val="21"/>
                <w:szCs w:val="21"/>
              </w:rPr>
            </w:pPr>
          </w:p>
        </w:tc>
        <w:tc>
          <w:tcPr>
            <w:tcW w:w="828" w:type="dxa"/>
            <w:vAlign w:val="center"/>
          </w:tcPr>
          <w:p>
            <w:pPr>
              <w:adjustRightInd w:val="0"/>
              <w:snapToGrid w:val="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处置</w:t>
            </w:r>
          </w:p>
        </w:tc>
        <w:tc>
          <w:tcPr>
            <w:tcW w:w="3402" w:type="dxa"/>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按照《医疗废物高温蒸汽集中处理工程技术规范（试行）》（</w:t>
            </w:r>
            <w:r>
              <w:rPr>
                <w:rFonts w:ascii="Times New Roman" w:hAnsi="Times New Roman" w:eastAsia="宋体" w:cs="Times New Roman"/>
                <w:color w:val="auto"/>
                <w:kern w:val="0"/>
                <w:sz w:val="21"/>
                <w:szCs w:val="21"/>
              </w:rPr>
              <w:t>HJ/T276</w:t>
            </w:r>
            <w:r>
              <w:rPr>
                <w:rFonts w:hint="eastAsia" w:ascii="Times New Roman" w:hAnsi="Times New Roman" w:eastAsia="宋体" w:cs="Times New Roman"/>
                <w:color w:val="auto"/>
                <w:kern w:val="0"/>
                <w:sz w:val="21"/>
                <w:szCs w:val="21"/>
              </w:rPr>
              <w:t>）或《医疗废物化学消毒集中处理工程技术规范（试行）》（</w:t>
            </w:r>
            <w:r>
              <w:rPr>
                <w:rFonts w:ascii="Times New Roman" w:hAnsi="Times New Roman" w:eastAsia="宋体" w:cs="Times New Roman"/>
                <w:color w:val="auto"/>
                <w:kern w:val="0"/>
                <w:sz w:val="21"/>
                <w:szCs w:val="21"/>
              </w:rPr>
              <w:t>HJ/T228</w:t>
            </w:r>
            <w:r>
              <w:rPr>
                <w:rFonts w:hint="eastAsia" w:ascii="Times New Roman" w:hAnsi="Times New Roman" w:eastAsia="宋体" w:cs="Times New Roman"/>
                <w:color w:val="auto"/>
                <w:kern w:val="0"/>
                <w:sz w:val="21"/>
                <w:szCs w:val="21"/>
              </w:rPr>
              <w:t>）或《医疗废物微波消毒集中处理工程技术规范（试行）》（</w:t>
            </w:r>
            <w:r>
              <w:rPr>
                <w:rFonts w:ascii="Times New Roman" w:hAnsi="Times New Roman" w:eastAsia="宋体" w:cs="Times New Roman"/>
                <w:color w:val="auto"/>
                <w:kern w:val="0"/>
                <w:sz w:val="21"/>
                <w:szCs w:val="21"/>
              </w:rPr>
              <w:t>HJ/T229</w:t>
            </w:r>
            <w:r>
              <w:rPr>
                <w:rFonts w:hint="eastAsia" w:ascii="Times New Roman" w:hAnsi="Times New Roman" w:eastAsia="宋体" w:cs="Times New Roman"/>
                <w:color w:val="auto"/>
                <w:kern w:val="0"/>
                <w:sz w:val="21"/>
                <w:szCs w:val="21"/>
              </w:rPr>
              <w:t>）进行处理后进入生活垃圾填埋场填埋或进入生活垃圾焚烧厂焚烧。</w:t>
            </w:r>
          </w:p>
        </w:tc>
        <w:tc>
          <w:tcPr>
            <w:tcW w:w="1355" w:type="dxa"/>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处置过程不按危险废物管理。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91" w:type="dxa"/>
            <w:vMerge w:val="restart"/>
            <w:vAlign w:val="center"/>
          </w:tcPr>
          <w:p>
            <w:pPr>
              <w:adjustRightInd w:val="0"/>
              <w:snapToGrid w:val="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841-002-01</w:t>
            </w:r>
          </w:p>
        </w:tc>
        <w:tc>
          <w:tcPr>
            <w:tcW w:w="1820" w:type="dxa"/>
            <w:vMerge w:val="restart"/>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损伤性废物</w:t>
            </w:r>
          </w:p>
        </w:tc>
        <w:tc>
          <w:tcPr>
            <w:tcW w:w="828" w:type="dxa"/>
            <w:vAlign w:val="center"/>
          </w:tcPr>
          <w:p>
            <w:pPr>
              <w:adjustRightInd w:val="0"/>
              <w:snapToGrid w:val="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运输</w:t>
            </w:r>
          </w:p>
        </w:tc>
        <w:tc>
          <w:tcPr>
            <w:tcW w:w="3402" w:type="dxa"/>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按照《医疗废物高温蒸汽集中处理工程技术规范（试行）》（</w:t>
            </w:r>
            <w:r>
              <w:rPr>
                <w:rFonts w:ascii="Times New Roman" w:hAnsi="Times New Roman" w:eastAsia="宋体" w:cs="Times New Roman"/>
                <w:color w:val="auto"/>
                <w:kern w:val="0"/>
                <w:sz w:val="21"/>
                <w:szCs w:val="21"/>
              </w:rPr>
              <w:t>HJ/T276</w:t>
            </w:r>
            <w:r>
              <w:rPr>
                <w:rFonts w:hint="eastAsia" w:ascii="Times New Roman" w:hAnsi="Times New Roman" w:eastAsia="宋体" w:cs="Times New Roman"/>
                <w:color w:val="auto"/>
                <w:kern w:val="0"/>
                <w:sz w:val="21"/>
                <w:szCs w:val="21"/>
              </w:rPr>
              <w:t>）或《医疗废物化学消毒集中处理工程技术规范（试行）》（</w:t>
            </w:r>
            <w:r>
              <w:rPr>
                <w:rFonts w:ascii="Times New Roman" w:hAnsi="Times New Roman" w:eastAsia="宋体" w:cs="Times New Roman"/>
                <w:color w:val="auto"/>
                <w:kern w:val="0"/>
                <w:sz w:val="21"/>
                <w:szCs w:val="21"/>
              </w:rPr>
              <w:t>HJ/T228</w:t>
            </w:r>
            <w:r>
              <w:rPr>
                <w:rFonts w:hint="eastAsia" w:ascii="Times New Roman" w:hAnsi="Times New Roman" w:eastAsia="宋体" w:cs="Times New Roman"/>
                <w:color w:val="auto"/>
                <w:kern w:val="0"/>
                <w:sz w:val="21"/>
                <w:szCs w:val="21"/>
              </w:rPr>
              <w:t>）或《医疗废物微波消毒集中处理工程技术规范（试行）》（</w:t>
            </w:r>
            <w:r>
              <w:rPr>
                <w:rFonts w:ascii="Times New Roman" w:hAnsi="Times New Roman" w:eastAsia="宋体" w:cs="Times New Roman"/>
                <w:color w:val="auto"/>
                <w:kern w:val="0"/>
                <w:sz w:val="21"/>
                <w:szCs w:val="21"/>
              </w:rPr>
              <w:t>HJ/T229</w:t>
            </w:r>
            <w:r>
              <w:rPr>
                <w:rFonts w:hint="eastAsia" w:ascii="Times New Roman" w:hAnsi="Times New Roman" w:eastAsia="宋体" w:cs="Times New Roman"/>
                <w:color w:val="auto"/>
                <w:kern w:val="0"/>
                <w:sz w:val="21"/>
                <w:szCs w:val="21"/>
              </w:rPr>
              <w:t>）进行处理后按生活垃圾运输。</w:t>
            </w:r>
          </w:p>
        </w:tc>
        <w:tc>
          <w:tcPr>
            <w:tcW w:w="1355" w:type="dxa"/>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不按危险废物进行运输。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91" w:type="dxa"/>
            <w:vMerge w:val="continue"/>
            <w:vAlign w:val="center"/>
          </w:tcPr>
          <w:p>
            <w:pPr>
              <w:adjustRightInd w:val="0"/>
              <w:snapToGrid w:val="0"/>
              <w:jc w:val="center"/>
              <w:rPr>
                <w:rFonts w:ascii="Times New Roman" w:hAnsi="Times New Roman" w:eastAsia="宋体" w:cs="Times New Roman"/>
                <w:color w:val="auto"/>
                <w:kern w:val="0"/>
                <w:sz w:val="21"/>
                <w:szCs w:val="21"/>
              </w:rPr>
            </w:pPr>
          </w:p>
        </w:tc>
        <w:tc>
          <w:tcPr>
            <w:tcW w:w="1820" w:type="dxa"/>
            <w:vMerge w:val="continue"/>
            <w:vAlign w:val="center"/>
          </w:tcPr>
          <w:p>
            <w:pPr>
              <w:adjustRightInd w:val="0"/>
              <w:snapToGrid w:val="0"/>
              <w:rPr>
                <w:rFonts w:ascii="Times New Roman" w:hAnsi="Times New Roman" w:eastAsia="宋体" w:cs="Times New Roman"/>
                <w:color w:val="auto"/>
                <w:kern w:val="0"/>
                <w:sz w:val="21"/>
                <w:szCs w:val="21"/>
              </w:rPr>
            </w:pPr>
          </w:p>
        </w:tc>
        <w:tc>
          <w:tcPr>
            <w:tcW w:w="828" w:type="dxa"/>
            <w:vAlign w:val="center"/>
          </w:tcPr>
          <w:p>
            <w:pPr>
              <w:adjustRightInd w:val="0"/>
              <w:snapToGrid w:val="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处置</w:t>
            </w:r>
          </w:p>
        </w:tc>
        <w:tc>
          <w:tcPr>
            <w:tcW w:w="3402" w:type="dxa"/>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按照《医疗废物高温蒸汽集中处理工程技术规范（试行）》（</w:t>
            </w:r>
            <w:r>
              <w:rPr>
                <w:rFonts w:ascii="Times New Roman" w:hAnsi="Times New Roman" w:eastAsia="宋体" w:cs="Times New Roman"/>
                <w:color w:val="auto"/>
                <w:kern w:val="0"/>
                <w:sz w:val="21"/>
                <w:szCs w:val="21"/>
              </w:rPr>
              <w:t>HJ/T276</w:t>
            </w:r>
            <w:r>
              <w:rPr>
                <w:rFonts w:hint="eastAsia" w:ascii="Times New Roman" w:hAnsi="Times New Roman" w:eastAsia="宋体" w:cs="Times New Roman"/>
                <w:color w:val="auto"/>
                <w:kern w:val="0"/>
                <w:sz w:val="21"/>
                <w:szCs w:val="21"/>
              </w:rPr>
              <w:t>）或《医疗废物化学消毒集中处理工程技术规范（试行）》（</w:t>
            </w:r>
            <w:r>
              <w:rPr>
                <w:rFonts w:ascii="Times New Roman" w:hAnsi="Times New Roman" w:eastAsia="宋体" w:cs="Times New Roman"/>
                <w:color w:val="auto"/>
                <w:kern w:val="0"/>
                <w:sz w:val="21"/>
                <w:szCs w:val="21"/>
              </w:rPr>
              <w:t>HJ/T228</w:t>
            </w:r>
            <w:r>
              <w:rPr>
                <w:rFonts w:hint="eastAsia" w:ascii="Times New Roman" w:hAnsi="Times New Roman" w:eastAsia="宋体" w:cs="Times New Roman"/>
                <w:color w:val="auto"/>
                <w:kern w:val="0"/>
                <w:sz w:val="21"/>
                <w:szCs w:val="21"/>
              </w:rPr>
              <w:t>）或《医疗废物微波消毒集中处理工程技术规范（试行）》（</w:t>
            </w:r>
            <w:r>
              <w:rPr>
                <w:rFonts w:ascii="Times New Roman" w:hAnsi="Times New Roman" w:eastAsia="宋体" w:cs="Times New Roman"/>
                <w:color w:val="auto"/>
                <w:kern w:val="0"/>
                <w:sz w:val="21"/>
                <w:szCs w:val="21"/>
              </w:rPr>
              <w:t>HJ/T229</w:t>
            </w:r>
            <w:r>
              <w:rPr>
                <w:rFonts w:hint="eastAsia" w:ascii="Times New Roman" w:hAnsi="Times New Roman" w:eastAsia="宋体" w:cs="Times New Roman"/>
                <w:color w:val="auto"/>
                <w:kern w:val="0"/>
                <w:sz w:val="21"/>
                <w:szCs w:val="21"/>
              </w:rPr>
              <w:t>）进行处理后进入生活垃圾填埋场填埋或进入生活垃圾焚烧厂焚烧。</w:t>
            </w:r>
          </w:p>
        </w:tc>
        <w:tc>
          <w:tcPr>
            <w:tcW w:w="1355" w:type="dxa"/>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处置过程不按危险废物管理。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91" w:type="dxa"/>
            <w:vMerge w:val="restart"/>
            <w:vAlign w:val="center"/>
          </w:tcPr>
          <w:p>
            <w:pPr>
              <w:adjustRightInd w:val="0"/>
              <w:snapToGrid w:val="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841-003-01</w:t>
            </w:r>
          </w:p>
        </w:tc>
        <w:tc>
          <w:tcPr>
            <w:tcW w:w="1820" w:type="dxa"/>
            <w:vMerge w:val="restart"/>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病理性废物（人体器官除外）</w:t>
            </w:r>
          </w:p>
        </w:tc>
        <w:tc>
          <w:tcPr>
            <w:tcW w:w="828" w:type="dxa"/>
            <w:vAlign w:val="center"/>
          </w:tcPr>
          <w:p>
            <w:pPr>
              <w:adjustRightInd w:val="0"/>
              <w:snapToGrid w:val="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运输</w:t>
            </w:r>
          </w:p>
        </w:tc>
        <w:tc>
          <w:tcPr>
            <w:tcW w:w="3402" w:type="dxa"/>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按照《医疗废物化学消毒集中处理工程技术规范（试行）》（</w:t>
            </w:r>
            <w:r>
              <w:rPr>
                <w:rFonts w:ascii="Times New Roman" w:hAnsi="Times New Roman" w:eastAsia="宋体" w:cs="Times New Roman"/>
                <w:color w:val="auto"/>
                <w:kern w:val="0"/>
                <w:sz w:val="21"/>
                <w:szCs w:val="21"/>
              </w:rPr>
              <w:t>HJ/T228</w:t>
            </w:r>
            <w:r>
              <w:rPr>
                <w:rFonts w:hint="eastAsia" w:ascii="Times New Roman" w:hAnsi="Times New Roman" w:eastAsia="宋体" w:cs="Times New Roman"/>
                <w:color w:val="auto"/>
                <w:kern w:val="0"/>
                <w:sz w:val="21"/>
                <w:szCs w:val="21"/>
              </w:rPr>
              <w:t>）或《医疗废物微波消毒集中处理工程技术规范（试行）》（</w:t>
            </w:r>
            <w:r>
              <w:rPr>
                <w:rFonts w:ascii="Times New Roman" w:hAnsi="Times New Roman" w:eastAsia="宋体" w:cs="Times New Roman"/>
                <w:color w:val="auto"/>
                <w:kern w:val="0"/>
                <w:sz w:val="21"/>
                <w:szCs w:val="21"/>
              </w:rPr>
              <w:t>HJ/T229</w:t>
            </w:r>
            <w:r>
              <w:rPr>
                <w:rFonts w:hint="eastAsia" w:ascii="Times New Roman" w:hAnsi="Times New Roman" w:eastAsia="宋体" w:cs="Times New Roman"/>
                <w:color w:val="auto"/>
                <w:kern w:val="0"/>
                <w:sz w:val="21"/>
                <w:szCs w:val="21"/>
              </w:rPr>
              <w:t>）进行处理后按生活垃圾运输。</w:t>
            </w:r>
          </w:p>
        </w:tc>
        <w:tc>
          <w:tcPr>
            <w:tcW w:w="1355" w:type="dxa"/>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不按危险废物进行运输。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91" w:type="dxa"/>
            <w:vMerge w:val="continue"/>
            <w:vAlign w:val="center"/>
          </w:tcPr>
          <w:p>
            <w:pPr>
              <w:adjustRightInd w:val="0"/>
              <w:snapToGrid w:val="0"/>
              <w:jc w:val="center"/>
              <w:rPr>
                <w:rFonts w:ascii="Times New Roman" w:hAnsi="Times New Roman" w:eastAsia="宋体" w:cs="Times New Roman"/>
                <w:color w:val="auto"/>
                <w:kern w:val="0"/>
                <w:sz w:val="21"/>
                <w:szCs w:val="21"/>
              </w:rPr>
            </w:pPr>
          </w:p>
        </w:tc>
        <w:tc>
          <w:tcPr>
            <w:tcW w:w="1820" w:type="dxa"/>
            <w:vMerge w:val="continue"/>
            <w:vAlign w:val="center"/>
          </w:tcPr>
          <w:p>
            <w:pPr>
              <w:adjustRightInd w:val="0"/>
              <w:snapToGrid w:val="0"/>
              <w:rPr>
                <w:rFonts w:ascii="Times New Roman" w:hAnsi="Times New Roman" w:eastAsia="宋体" w:cs="Times New Roman"/>
                <w:color w:val="auto"/>
                <w:kern w:val="0"/>
                <w:sz w:val="21"/>
                <w:szCs w:val="21"/>
              </w:rPr>
            </w:pPr>
          </w:p>
        </w:tc>
        <w:tc>
          <w:tcPr>
            <w:tcW w:w="828" w:type="dxa"/>
            <w:vAlign w:val="center"/>
          </w:tcPr>
          <w:p>
            <w:pPr>
              <w:adjustRightInd w:val="0"/>
              <w:snapToGrid w:val="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处置</w:t>
            </w:r>
          </w:p>
        </w:tc>
        <w:tc>
          <w:tcPr>
            <w:tcW w:w="3402" w:type="dxa"/>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按照《医疗废物化学消毒集中处理工程技术规范（试行）》（</w:t>
            </w:r>
            <w:r>
              <w:rPr>
                <w:rFonts w:ascii="Times New Roman" w:hAnsi="Times New Roman" w:eastAsia="宋体" w:cs="Times New Roman"/>
                <w:color w:val="auto"/>
                <w:kern w:val="0"/>
                <w:sz w:val="21"/>
                <w:szCs w:val="21"/>
              </w:rPr>
              <w:t>HJ/T228</w:t>
            </w:r>
            <w:r>
              <w:rPr>
                <w:rFonts w:hint="eastAsia" w:ascii="Times New Roman" w:hAnsi="Times New Roman" w:eastAsia="宋体" w:cs="Times New Roman"/>
                <w:color w:val="auto"/>
                <w:kern w:val="0"/>
                <w:sz w:val="21"/>
                <w:szCs w:val="21"/>
              </w:rPr>
              <w:t>）或《医疗废物微波消毒集中处理工程技术规范（试行）》（</w:t>
            </w:r>
            <w:r>
              <w:rPr>
                <w:rFonts w:ascii="Times New Roman" w:hAnsi="Times New Roman" w:eastAsia="宋体" w:cs="Times New Roman"/>
                <w:color w:val="auto"/>
                <w:kern w:val="0"/>
                <w:sz w:val="21"/>
                <w:szCs w:val="21"/>
              </w:rPr>
              <w:t>HJ/T229</w:t>
            </w:r>
            <w:r>
              <w:rPr>
                <w:rFonts w:hint="eastAsia" w:ascii="Times New Roman" w:hAnsi="Times New Roman" w:eastAsia="宋体" w:cs="Times New Roman"/>
                <w:color w:val="auto"/>
                <w:kern w:val="0"/>
                <w:sz w:val="21"/>
                <w:szCs w:val="21"/>
              </w:rPr>
              <w:t>）进行处理后进入生活垃圾焚烧厂焚烧。</w:t>
            </w:r>
          </w:p>
        </w:tc>
        <w:tc>
          <w:tcPr>
            <w:tcW w:w="1355" w:type="dxa"/>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处置过程不按危险废物管理。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91" w:type="dxa"/>
            <w:vMerge w:val="restart"/>
            <w:vAlign w:val="center"/>
          </w:tcPr>
          <w:p>
            <w:pPr>
              <w:adjustRightInd w:val="0"/>
              <w:snapToGrid w:val="0"/>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772-003-18</w:t>
            </w:r>
          </w:p>
        </w:tc>
        <w:tc>
          <w:tcPr>
            <w:tcW w:w="1820" w:type="dxa"/>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医疗废物焚烧飞灰</w:t>
            </w:r>
          </w:p>
        </w:tc>
        <w:tc>
          <w:tcPr>
            <w:tcW w:w="828" w:type="dxa"/>
            <w:vAlign w:val="center"/>
          </w:tcPr>
          <w:p>
            <w:pPr>
              <w:adjustRightInd w:val="0"/>
              <w:snapToGrid w:val="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处置</w:t>
            </w:r>
          </w:p>
        </w:tc>
        <w:tc>
          <w:tcPr>
            <w:tcW w:w="3402" w:type="dxa"/>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满足《生活垃圾填埋场污染控制标准》（</w:t>
            </w:r>
            <w:r>
              <w:rPr>
                <w:rFonts w:ascii="Times New Roman" w:hAnsi="Times New Roman" w:eastAsia="宋体" w:cs="Times New Roman"/>
                <w:color w:val="auto"/>
                <w:kern w:val="0"/>
                <w:sz w:val="21"/>
                <w:szCs w:val="21"/>
              </w:rPr>
              <w:t>GB16889</w:t>
            </w:r>
            <w:r>
              <w:rPr>
                <w:rFonts w:hint="eastAsia" w:ascii="Times New Roman" w:hAnsi="Times New Roman" w:eastAsia="宋体" w:cs="Times New Roman"/>
                <w:color w:val="auto"/>
                <w:kern w:val="0"/>
                <w:sz w:val="21"/>
                <w:szCs w:val="21"/>
              </w:rPr>
              <w:t>）要求进入生活垃圾填埋场填埋。</w:t>
            </w:r>
          </w:p>
        </w:tc>
        <w:tc>
          <w:tcPr>
            <w:tcW w:w="1355" w:type="dxa"/>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填埋处置过程不按危险废物管理。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91" w:type="dxa"/>
            <w:vMerge w:val="continue"/>
            <w:vAlign w:val="center"/>
          </w:tcPr>
          <w:p>
            <w:pPr>
              <w:adjustRightInd w:val="0"/>
              <w:snapToGrid w:val="0"/>
              <w:jc w:val="center"/>
              <w:rPr>
                <w:rFonts w:ascii="Times New Roman" w:hAnsi="Times New Roman" w:eastAsia="宋体" w:cs="Times New Roman"/>
                <w:color w:val="auto"/>
                <w:kern w:val="0"/>
                <w:sz w:val="21"/>
                <w:szCs w:val="21"/>
              </w:rPr>
            </w:pPr>
          </w:p>
        </w:tc>
        <w:tc>
          <w:tcPr>
            <w:tcW w:w="1820" w:type="dxa"/>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医疗废物焚烧处置产生的底渣</w:t>
            </w:r>
          </w:p>
        </w:tc>
        <w:tc>
          <w:tcPr>
            <w:tcW w:w="828" w:type="dxa"/>
            <w:vAlign w:val="center"/>
          </w:tcPr>
          <w:p>
            <w:pPr>
              <w:adjustRightInd w:val="0"/>
              <w:snapToGrid w:val="0"/>
              <w:jc w:val="cente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全部环节</w:t>
            </w:r>
          </w:p>
        </w:tc>
        <w:tc>
          <w:tcPr>
            <w:tcW w:w="3402" w:type="dxa"/>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满足《生活垃圾填埋场污染控制标准》</w:t>
            </w:r>
            <w:r>
              <w:rPr>
                <w:rFonts w:ascii="Times New Roman" w:hAnsi="Times New Roman" w:eastAsia="宋体" w:cs="Times New Roman"/>
                <w:color w:val="auto"/>
                <w:kern w:val="0"/>
                <w:sz w:val="21"/>
                <w:szCs w:val="21"/>
              </w:rPr>
              <w:t>GB16889</w:t>
            </w:r>
            <w:r>
              <w:rPr>
                <w:rFonts w:hint="eastAsia" w:ascii="Times New Roman" w:hAnsi="Times New Roman" w:eastAsia="宋体" w:cs="Times New Roman"/>
                <w:color w:val="auto"/>
                <w:kern w:val="0"/>
                <w:sz w:val="21"/>
                <w:szCs w:val="21"/>
              </w:rPr>
              <w:t>）要求进入生活垃圾填埋场填埋。</w:t>
            </w:r>
          </w:p>
        </w:tc>
        <w:tc>
          <w:tcPr>
            <w:tcW w:w="1355" w:type="dxa"/>
            <w:vAlign w:val="center"/>
          </w:tcPr>
          <w:p>
            <w:pPr>
              <w:adjustRightInd w:val="0"/>
              <w:snapToGrid w:val="0"/>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全过程不按危险废物管理。</w:t>
            </w:r>
          </w:p>
        </w:tc>
      </w:tr>
    </w:tbl>
    <w:p>
      <w:pPr>
        <w:spacing w:line="336" w:lineRule="auto"/>
        <w:rPr>
          <w:rFonts w:ascii="Times New Roman" w:hAnsi="Times New Roman" w:eastAsia="宋体" w:cs="Times New Roman"/>
          <w:b/>
          <w:color w:val="auto"/>
          <w:kern w:val="0"/>
          <w:szCs w:val="21"/>
        </w:rPr>
      </w:pPr>
    </w:p>
    <w:p>
      <w:pPr>
        <w:pStyle w:val="32"/>
        <w:ind w:firstLine="480"/>
        <w:rPr>
          <w:color w:val="auto"/>
        </w:rPr>
      </w:pPr>
      <w:r>
        <w:rPr>
          <w:rFonts w:hint="eastAsia"/>
          <w:color w:val="auto"/>
        </w:rPr>
        <w:t>从《国家危险废物名录》和属性判定角度，医疗废物（</w:t>
      </w:r>
      <w:r>
        <w:rPr>
          <w:color w:val="auto"/>
        </w:rPr>
        <w:t>HW01</w:t>
      </w:r>
      <w:r>
        <w:rPr>
          <w:rFonts w:hint="eastAsia"/>
          <w:color w:val="auto"/>
        </w:rPr>
        <w:t>）属于危险废物，其经过处理处置后的残渣（</w:t>
      </w:r>
      <w:r>
        <w:rPr>
          <w:color w:val="auto"/>
        </w:rPr>
        <w:t>HW</w:t>
      </w:r>
      <w:r>
        <w:rPr>
          <w:rFonts w:hint="eastAsia"/>
          <w:color w:val="auto"/>
        </w:rPr>
        <w:t>01、HW18）、处理处置过程中产生的次生废物飞灰（</w:t>
      </w:r>
      <w:r>
        <w:rPr>
          <w:color w:val="auto"/>
        </w:rPr>
        <w:t>HW</w:t>
      </w:r>
      <w:r>
        <w:rPr>
          <w:rFonts w:hint="eastAsia"/>
          <w:color w:val="auto"/>
        </w:rPr>
        <w:t>18）、废水处理污泥（</w:t>
      </w:r>
      <w:r>
        <w:rPr>
          <w:color w:val="auto"/>
        </w:rPr>
        <w:t>HW49</w:t>
      </w:r>
      <w:r>
        <w:rPr>
          <w:rFonts w:hint="eastAsia"/>
          <w:color w:val="auto"/>
        </w:rPr>
        <w:t>）等均属于危险废物，只是在满足豁免条件的情况下，可在指定环节不按危险废物管理而已。究其根本，如果采用更为先进、更为合理的医疗废物处理处置技术，则可以更好的对医废处置全过程环节进行管控，降低二次污染的风险并获取更高的环境效益。</w:t>
      </w:r>
    </w:p>
    <w:p>
      <w:pPr>
        <w:pStyle w:val="4"/>
        <w:rPr>
          <w:rFonts w:cs="Times New Roman"/>
          <w:color w:val="auto"/>
          <w:lang w:val="zh-CN"/>
        </w:rPr>
      </w:pPr>
      <w:bookmarkStart w:id="114" w:name="_Toc7732"/>
      <w:r>
        <w:rPr>
          <w:rFonts w:hint="eastAsia" w:cs="Times New Roman"/>
          <w:color w:val="auto"/>
          <w:lang w:val="zh-CN"/>
        </w:rPr>
        <w:t>存在的问题</w:t>
      </w:r>
      <w:bookmarkEnd w:id="114"/>
    </w:p>
    <w:p>
      <w:pPr>
        <w:pStyle w:val="32"/>
        <w:ind w:firstLine="480"/>
        <w:rPr>
          <w:color w:val="auto"/>
        </w:rPr>
      </w:pPr>
      <w:r>
        <w:rPr>
          <w:rFonts w:hint="eastAsia"/>
          <w:color w:val="auto"/>
        </w:rPr>
        <w:t>我国现行的医疗废物相关政策及标准中有相当一部分发布于</w:t>
      </w:r>
      <w:r>
        <w:rPr>
          <w:color w:val="auto"/>
        </w:rPr>
        <w:t>2001</w:t>
      </w:r>
      <w:r>
        <w:rPr>
          <w:rFonts w:hint="eastAsia"/>
          <w:color w:val="auto"/>
        </w:rPr>
        <w:t>至</w:t>
      </w:r>
      <w:r>
        <w:rPr>
          <w:color w:val="auto"/>
        </w:rPr>
        <w:t>2006</w:t>
      </w:r>
      <w:r>
        <w:rPr>
          <w:rFonts w:hint="eastAsia"/>
          <w:color w:val="auto"/>
        </w:rPr>
        <w:t>年，根据当时的技术发展和污染物治理水平以及对环境保护方面的要求而制定，至今已实施近二十年。随着医疗废物处置硬件设施的不断完善、污染控制体系的持续扩充、先进管理理念的消化吸收，我国的医疗废物管理体系日趋完善。然而仍然存在现有标准规范等技术文件与现有医疗废物处置技术及污染排放控制不相匹配的矛盾。缺乏有针对性标准政策的支撑，也导致新技术转化率较低、应用推广受阻，新兴技术和可行技术的综合评价及遴选机制不完善、推广力度不够，技术成果转化应用案例数量偏低。</w:t>
      </w:r>
    </w:p>
    <w:p>
      <w:pPr>
        <w:pStyle w:val="32"/>
        <w:ind w:firstLine="480"/>
        <w:rPr>
          <w:color w:val="auto"/>
        </w:rPr>
      </w:pPr>
      <w:r>
        <w:rPr>
          <w:rFonts w:hint="eastAsia"/>
          <w:color w:val="auto"/>
        </w:rPr>
        <w:t>同时，技术的进一步发展也存在一定空间，现有的相关政策标准更关注医疗废物的处置技术层面，缺乏对医疗废物全过程信息化管理和全生命周期的管理技术体系，对于处理处置效果的判定尤其是消毒处理技术的效果判定，其灭菌效果的检测方法等有较多部分参考的是其他行业的关联性规范，针对医疗废物的特殊危害性需要制定更加专业的规范。</w:t>
      </w:r>
    </w:p>
    <w:p>
      <w:pPr>
        <w:pStyle w:val="32"/>
        <w:ind w:firstLine="480"/>
        <w:rPr>
          <w:color w:val="auto"/>
        </w:rPr>
      </w:pPr>
      <w:r>
        <w:rPr>
          <w:rFonts w:hint="eastAsia"/>
          <w:color w:val="auto"/>
        </w:rPr>
        <w:t>作为一种先进的危险废物处置技术，</w:t>
      </w:r>
      <w:r>
        <w:rPr>
          <w:color w:val="auto"/>
        </w:rPr>
        <w:t>医疗废物等离子体处置相关的技术标准和污染物排放控制尚未明确</w:t>
      </w:r>
      <w:r>
        <w:rPr>
          <w:rFonts w:hint="eastAsia"/>
          <w:color w:val="auto"/>
        </w:rPr>
        <w:t>，</w:t>
      </w:r>
      <w:r>
        <w:rPr>
          <w:color w:val="auto"/>
        </w:rPr>
        <w:t>照搬现有标准规范并不</w:t>
      </w:r>
      <w:r>
        <w:rPr>
          <w:rFonts w:hint="eastAsia"/>
          <w:color w:val="auto"/>
        </w:rPr>
        <w:t>完全</w:t>
      </w:r>
      <w:r>
        <w:rPr>
          <w:color w:val="auto"/>
        </w:rPr>
        <w:t>适用，亟需制定专门的技术规范。因此，急需制订标准对医疗废物等离子体处置技术的应用实施进行指导和规范，确保技术合理应用以及行业良序发展，保障生态环境、社会环境的安全，相应标准/技术规范的制定对推动技术的进步，行业规范化发展具有重要意义。</w:t>
      </w:r>
    </w:p>
    <w:p>
      <w:pPr>
        <w:pStyle w:val="3"/>
        <w:rPr>
          <w:rFonts w:cs="Times New Roman"/>
          <w:color w:val="auto"/>
        </w:rPr>
      </w:pPr>
      <w:bookmarkStart w:id="115" w:name="_Toc2361"/>
      <w:r>
        <w:rPr>
          <w:rFonts w:cs="Times New Roman"/>
          <w:color w:val="auto"/>
        </w:rPr>
        <w:t>国外医疗废物</w:t>
      </w:r>
      <w:r>
        <w:rPr>
          <w:rFonts w:hint="eastAsia" w:cs="Times New Roman"/>
          <w:color w:val="auto"/>
        </w:rPr>
        <w:t>管理体系</w:t>
      </w:r>
      <w:bookmarkEnd w:id="115"/>
    </w:p>
    <w:p>
      <w:pPr>
        <w:pStyle w:val="4"/>
        <w:rPr>
          <w:rFonts w:cs="Times New Roman"/>
          <w:color w:val="auto"/>
          <w:lang w:val="zh-CN"/>
        </w:rPr>
      </w:pPr>
      <w:bookmarkStart w:id="116" w:name="_Toc24146"/>
      <w:r>
        <w:rPr>
          <w:rFonts w:cs="Times New Roman"/>
          <w:color w:val="auto"/>
        </w:rPr>
        <w:t>国际社会对医疗废物</w:t>
      </w:r>
      <w:r>
        <w:rPr>
          <w:rFonts w:hint="eastAsia" w:cs="Times New Roman"/>
          <w:color w:val="auto"/>
        </w:rPr>
        <w:t>的</w:t>
      </w:r>
      <w:r>
        <w:rPr>
          <w:rFonts w:cs="Times New Roman"/>
          <w:color w:val="auto"/>
        </w:rPr>
        <w:t>处置和管理要求</w:t>
      </w:r>
      <w:bookmarkEnd w:id="116"/>
    </w:p>
    <w:p>
      <w:pPr>
        <w:pStyle w:val="32"/>
        <w:ind w:firstLine="480"/>
        <w:rPr>
          <w:color w:val="auto"/>
        </w:rPr>
      </w:pPr>
      <w:r>
        <w:rPr>
          <w:color w:val="auto"/>
        </w:rPr>
        <w:t>国际上以危险废物管理为主旨的主要两项国际公约分别为1989年签订的《关于控制危险废物越境转移及其处置的巴塞尔公约》(简称“巴塞尔公约”)和2001年签订的《关于持久性有机污染物的斯德哥尔摩公约》(简称“POPs 公约”)。这两个公约是在全球范围内规范危险废物管理的核心文件</w:t>
      </w:r>
      <w:r>
        <w:rPr>
          <w:rFonts w:hint="eastAsia"/>
          <w:color w:val="auto"/>
        </w:rPr>
        <w:t>，</w:t>
      </w:r>
      <w:r>
        <w:rPr>
          <w:color w:val="auto"/>
        </w:rPr>
        <w:t>其中的相关要求和规定是世界各国开展危险废物管理实践的指南和依据。世界各国对医疗废物的处理处置均有其相关政策与标准。此外，医疗废物作为危险废物的一类，世界卫生组织（WHO）针对医疗废物的管理和处置也提出了相关的要求。</w:t>
      </w:r>
    </w:p>
    <w:p>
      <w:pPr>
        <w:pStyle w:val="32"/>
        <w:ind w:firstLine="0" w:firstLineChars="0"/>
        <w:rPr>
          <w:color w:val="auto"/>
        </w:rPr>
      </w:pPr>
      <w:r>
        <w:rPr>
          <w:color w:val="auto"/>
        </w:rPr>
        <w:t>（1）巴塞尔公约</w:t>
      </w:r>
    </w:p>
    <w:p>
      <w:pPr>
        <w:pStyle w:val="32"/>
        <w:ind w:firstLine="480"/>
        <w:rPr>
          <w:color w:val="auto"/>
        </w:rPr>
      </w:pPr>
      <w:r>
        <w:rPr>
          <w:color w:val="auto"/>
        </w:rPr>
        <w:t>《巴塞尔公约》于1989年3月22日在瑞士巴塞尔联合国环境规划署会议中通过，1990年3月22日中国代表签署该公约。其宗旨是加强世界各国在控制危险废物越境转移及其处置方面的国际合作，促进危险废物以环境无害化方式处理，保护全球环境和人类健康。它作为最早提出危险废物污染控制的国际公约，其核心原则是减量化、产生地就近处理和环境无害化以及废物越境转移控制。在对“应加控制的废物类别”定义中，首要第一条即为医疗废物，“Y1从医院、医疗中心和诊所的医疗服务中产生的临床废物”，其次为“Y2从药品的生产和制作中产生的废物”，第三条为“Y3废药物和废药品”，充分体现了对医疗废物严重危害性的认知和国际社会对医疗废物管理的重视程度。</w:t>
      </w:r>
      <w:r>
        <w:rPr>
          <w:rFonts w:hint="eastAsia"/>
          <w:color w:val="auto"/>
        </w:rPr>
        <w:t>在“危险特性的清单”中，其危险等级为</w:t>
      </w:r>
      <w:r>
        <w:rPr>
          <w:color w:val="auto"/>
        </w:rPr>
        <w:t>6.2</w:t>
      </w:r>
      <w:r>
        <w:rPr>
          <w:rFonts w:hint="eastAsia"/>
          <w:color w:val="auto"/>
        </w:rPr>
        <w:t>，属传染性物质，即“含有已知或怀疑能引起动物或人类疾病的活微生物或其毒素的物质或废物”。</w:t>
      </w:r>
    </w:p>
    <w:p>
      <w:pPr>
        <w:pStyle w:val="23"/>
        <w:numPr>
          <w:ilvl w:val="0"/>
          <w:numId w:val="14"/>
        </w:numPr>
        <w:spacing w:line="336" w:lineRule="auto"/>
        <w:ind w:firstLineChars="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《巴塞尔公约》附件“应加控制的废物类别”</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8"/>
        <w:gridCol w:w="68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Align w:val="center"/>
          </w:tcPr>
          <w:p>
            <w:pPr>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Y1</w:t>
            </w:r>
          </w:p>
        </w:tc>
        <w:tc>
          <w:tcPr>
            <w:tcW w:w="6887" w:type="dxa"/>
            <w:vAlign w:val="center"/>
          </w:tcPr>
          <w:p>
            <w:pP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从医院、医疗中心和诊所的医疗服务中产生的临床废物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Align w:val="center"/>
          </w:tcPr>
          <w:p>
            <w:pPr>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Y2</w:t>
            </w:r>
          </w:p>
        </w:tc>
        <w:tc>
          <w:tcPr>
            <w:tcW w:w="6887" w:type="dxa"/>
            <w:vAlign w:val="center"/>
          </w:tcPr>
          <w:p>
            <w:pP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从药品的生产和制作中产生的废物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Align w:val="center"/>
          </w:tcPr>
          <w:p>
            <w:pPr>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Y3</w:t>
            </w:r>
          </w:p>
        </w:tc>
        <w:tc>
          <w:tcPr>
            <w:tcW w:w="6887" w:type="dxa"/>
            <w:vAlign w:val="center"/>
          </w:tcPr>
          <w:p>
            <w:pP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废药物和废药品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Align w:val="center"/>
          </w:tcPr>
          <w:p>
            <w:pPr>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Y4</w:t>
            </w:r>
          </w:p>
        </w:tc>
        <w:tc>
          <w:tcPr>
            <w:tcW w:w="6887" w:type="dxa"/>
            <w:vAlign w:val="center"/>
          </w:tcPr>
          <w:p>
            <w:pP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从生物杀伤剂和植物药物的生产、配制和使用中产生的废物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Align w:val="center"/>
          </w:tcPr>
          <w:p>
            <w:pPr>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Y5</w:t>
            </w:r>
          </w:p>
        </w:tc>
        <w:tc>
          <w:tcPr>
            <w:tcW w:w="6887" w:type="dxa"/>
            <w:vAlign w:val="center"/>
          </w:tcPr>
          <w:p>
            <w:pP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从木材防腐化学品的制作、配制和使用中产生的废物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Align w:val="center"/>
          </w:tcPr>
          <w:p>
            <w:pPr>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Y6</w:t>
            </w:r>
          </w:p>
        </w:tc>
        <w:tc>
          <w:tcPr>
            <w:tcW w:w="6887" w:type="dxa"/>
            <w:vAlign w:val="center"/>
          </w:tcPr>
          <w:p>
            <w:pP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从有机溶剂的生产、配制和使用中产生的废物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Align w:val="center"/>
          </w:tcPr>
          <w:p>
            <w:pPr>
              <w:jc w:val="cente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w:t>
            </w:r>
          </w:p>
        </w:tc>
        <w:tc>
          <w:tcPr>
            <w:tcW w:w="6887" w:type="dxa"/>
            <w:vAlign w:val="center"/>
          </w:tcPr>
          <w:p>
            <w:pP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w:t>
            </w:r>
          </w:p>
        </w:tc>
      </w:tr>
    </w:tbl>
    <w:p>
      <w:pPr>
        <w:spacing w:line="336" w:lineRule="auto"/>
        <w:ind w:firstLine="420" w:firstLineChars="200"/>
        <w:rPr>
          <w:rFonts w:ascii="Times New Roman" w:hAnsi="Times New Roman" w:eastAsia="宋体" w:cs="Times New Roman"/>
          <w:color w:val="auto"/>
          <w:kern w:val="0"/>
          <w:szCs w:val="21"/>
        </w:rPr>
      </w:pPr>
    </w:p>
    <w:p>
      <w:pPr>
        <w:pStyle w:val="32"/>
        <w:ind w:firstLine="480"/>
        <w:rPr>
          <w:color w:val="auto"/>
        </w:rPr>
      </w:pPr>
      <w:r>
        <w:rPr>
          <w:rFonts w:hint="eastAsia"/>
          <w:color w:val="auto"/>
        </w:rPr>
        <w:t>根据该公约编写了《生物医学和卫生废物环境友好管理技术指南》，指南将来自于所有医疗机构和相关实验室等单位的废物统称为生物医学和卫生废物，将其分为五类，分别是：感染性卫生废物；化学性、毒性和药物性（包括细胞毒和麻醉药品）废物；锐器；放射性废物；其它废物。病理和解剖产生的肢体和其它组织，包括血液和生物液被单独分类为生物卫生废物，可根据伦理道德的要求进行专门处理。</w:t>
      </w:r>
    </w:p>
    <w:p>
      <w:pPr>
        <w:pStyle w:val="32"/>
        <w:ind w:firstLine="480"/>
        <w:rPr>
          <w:color w:val="auto"/>
        </w:rPr>
      </w:pPr>
      <w:r>
        <w:rPr>
          <w:color w:val="auto"/>
        </w:rPr>
        <w:t>针对处置技术，《巴塞尔公约》制定了关于陆上焚化(D10)的技术导则，该导则旨在为开展危险废物管理和处置的国家提供指导。鉴于公约关注的关键问题在于危险废物无害化处理，</w:t>
      </w:r>
      <w:r>
        <w:rPr>
          <w:rFonts w:hint="eastAsia"/>
          <w:color w:val="auto"/>
        </w:rPr>
        <w:t>该</w:t>
      </w:r>
      <w:r>
        <w:rPr>
          <w:color w:val="auto"/>
        </w:rPr>
        <w:t>导则中提及关于危险废物焚烧处置方面的要求，特别是在焚烧过程中可能产生的有害物质，如氯化氢、氟化氢、重金属及二噁英</w:t>
      </w:r>
      <w:r>
        <w:rPr>
          <w:rFonts w:hint="eastAsia"/>
          <w:color w:val="auto"/>
        </w:rPr>
        <w:t>类物质</w:t>
      </w:r>
      <w:r>
        <w:rPr>
          <w:color w:val="auto"/>
        </w:rPr>
        <w:t>等，为了避免或减少危险废物焚烧过程中这些高危污染物的产生和排放，要求建立严格的排放标准和二次污染控制措施。同时强调了危险废物处置全过程管理的重要性，并提出了相关措施和建议，为危险废物的无害化处置提供了重要依据。</w:t>
      </w:r>
    </w:p>
    <w:p>
      <w:pPr>
        <w:pStyle w:val="32"/>
        <w:ind w:firstLine="0" w:firstLineChars="0"/>
        <w:rPr>
          <w:color w:val="auto"/>
        </w:rPr>
      </w:pPr>
      <w:r>
        <w:rPr>
          <w:color w:val="auto"/>
        </w:rPr>
        <w:t>（2）POPs 公约</w:t>
      </w:r>
    </w:p>
    <w:p>
      <w:pPr>
        <w:pStyle w:val="32"/>
        <w:ind w:firstLine="480"/>
        <w:rPr>
          <w:color w:val="auto"/>
        </w:rPr>
      </w:pPr>
      <w:r>
        <w:rPr>
          <w:color w:val="auto"/>
        </w:rPr>
        <w:t>《POPs公约》于2001年5月23日在</w:t>
      </w:r>
      <w:r>
        <w:rPr>
          <w:rFonts w:hint="eastAsia"/>
          <w:color w:val="auto"/>
        </w:rPr>
        <w:t>瑞典斯德哥尔摩的会议</w:t>
      </w:r>
      <w:r>
        <w:rPr>
          <w:color w:val="auto"/>
        </w:rPr>
        <w:t>中通过，</w:t>
      </w:r>
      <w:r>
        <w:rPr>
          <w:rFonts w:hint="eastAsia"/>
          <w:color w:val="auto"/>
        </w:rPr>
        <w:t>我国是首批签署公约国之一</w:t>
      </w:r>
      <w:r>
        <w:rPr>
          <w:color w:val="auto"/>
        </w:rPr>
        <w:t>。</w:t>
      </w:r>
      <w:r>
        <w:rPr>
          <w:rFonts w:hint="eastAsia"/>
          <w:color w:val="auto"/>
        </w:rPr>
        <w:t>公约指出，医疗废物焚烧不充分可产生和排放二噁英类的持久性有机污染物（</w:t>
      </w:r>
      <w:r>
        <w:rPr>
          <w:color w:val="auto"/>
        </w:rPr>
        <w:t>POPs）,这类物质对人体健康和环境具有较大不利影响。公约提出了废弃物管理减量化、无害化、资源化的要求。公约在附件 C 中提出了与医疗废物管理相关的措施，如：加强医疗废物管理，采取减量化措施；管控废物焚烧质量；处置措施采用非焚烧替代方式以减少医疗废物处置中污染物的排放量。</w:t>
      </w:r>
      <w:r>
        <w:rPr>
          <w:rFonts w:hint="eastAsia"/>
          <w:color w:val="auto"/>
        </w:rPr>
        <w:t>同时</w:t>
      </w:r>
      <w:r>
        <w:rPr>
          <w:color w:val="auto"/>
        </w:rPr>
        <w:t>给出最佳实用技术(BAT)和最佳环境实践(BEP)的一般性预防措施</w:t>
      </w:r>
      <w:r>
        <w:rPr>
          <w:rFonts w:hint="eastAsia"/>
          <w:color w:val="auto"/>
        </w:rPr>
        <w:t>，</w:t>
      </w:r>
      <w:r>
        <w:rPr>
          <w:color w:val="auto"/>
        </w:rPr>
        <w:t>以有效减少POPs的排放</w:t>
      </w:r>
      <w:r>
        <w:rPr>
          <w:rFonts w:hint="eastAsia"/>
          <w:color w:val="auto"/>
        </w:rPr>
        <w:t>。</w:t>
      </w:r>
    </w:p>
    <w:p>
      <w:pPr>
        <w:pStyle w:val="32"/>
        <w:ind w:firstLine="0" w:firstLineChars="0"/>
        <w:rPr>
          <w:color w:val="auto"/>
        </w:rPr>
      </w:pPr>
      <w:r>
        <w:rPr>
          <w:color w:val="auto"/>
        </w:rPr>
        <w:t>（3）世界卫生组织《医疗废物安全管理》蓝皮书</w:t>
      </w:r>
    </w:p>
    <w:p>
      <w:pPr>
        <w:pStyle w:val="32"/>
        <w:ind w:firstLine="480"/>
        <w:rPr>
          <w:color w:val="auto"/>
        </w:rPr>
      </w:pPr>
      <w:r>
        <w:rPr>
          <w:color w:val="auto"/>
        </w:rPr>
        <w:t>世界卫生组织针对危险废物的管理和处置要求主要针对医疗废物，根据相关的研究成果世界卫生组织于1999年发布了《医疗废物安全管理》(Safe management of wastes from health- care activities)一书，即被广为熟知的</w:t>
      </w:r>
      <w:r>
        <w:rPr>
          <w:rFonts w:hint="eastAsia"/>
          <w:color w:val="auto"/>
        </w:rPr>
        <w:t>“</w:t>
      </w:r>
      <w:r>
        <w:rPr>
          <w:color w:val="auto"/>
        </w:rPr>
        <w:t>蓝皮书</w:t>
      </w:r>
      <w:r>
        <w:rPr>
          <w:rFonts w:hint="eastAsia"/>
          <w:color w:val="auto"/>
        </w:rPr>
        <w:t>”</w:t>
      </w:r>
      <w:r>
        <w:rPr>
          <w:color w:val="auto"/>
        </w:rPr>
        <w:t>；随着各国医疗废物管理体系的发展和医疗废物处置技术的进步，世卫组织于2014年对蓝皮书进行了修订。书中指出，一个国家的医疗废物管理体系应该包括基础法规，并配备以执行法规的相关技术指南。这些法规和指南应该明确针对不同垃圾类别的分类收集、暂存、运输和最终处理，以及部门职责和培训等具体细则，这样在建立法规框架的同时也能确保开展实际工作。书中还强调推动可持续分类的优点，应按优先顺序实施医疗废物减量、分类、处理、运输和最终处理。</w:t>
      </w:r>
    </w:p>
    <w:p>
      <w:pPr>
        <w:pStyle w:val="32"/>
        <w:ind w:firstLine="480"/>
        <w:rPr>
          <w:color w:val="auto"/>
        </w:rPr>
      </w:pPr>
      <w:r>
        <w:rPr>
          <w:color w:val="auto"/>
        </w:rPr>
        <w:t>医疗废物包括医疗机构以及相关研究场所产生的所有废物。除此之外，还包括来自次要和分散来源的相同类型的废物，包括来自家庭如透析、自服用胰岛素、康复护理等。在产生的医疗废物中，约75%-90%为相当于生活垃圾的一般性无害废物，余下的10%-25%被认为具有危险性，可能构成各种环境和健康风险。</w:t>
      </w:r>
      <w:r>
        <w:rPr>
          <w:rFonts w:hint="eastAsia"/>
          <w:color w:val="auto"/>
        </w:rPr>
        <w:t>就每天每张病床产生的有害废物而言，高收入国家平均达</w:t>
      </w:r>
      <w:r>
        <w:rPr>
          <w:color w:val="auto"/>
        </w:rPr>
        <w:t>0.5公斤；而低收入国家平均达0.2公斤。然而，低收入国家通常不区分有害废物和无害废物，因此实际的有害废物数量要高很多</w:t>
      </w:r>
      <w:r>
        <w:rPr>
          <w:rFonts w:hint="eastAsia"/>
          <w:color w:val="auto"/>
        </w:rPr>
        <w:t>。但是存在所产生的的医疗废物收集不够完全的情况，可能存在污染风险。</w:t>
      </w:r>
    </w:p>
    <w:p>
      <w:pPr>
        <w:spacing w:line="336" w:lineRule="auto"/>
        <w:jc w:val="center"/>
        <w:rPr>
          <w:rFonts w:ascii="Times New Roman" w:hAnsi="Times New Roman" w:cs="Times New Roman"/>
          <w:color w:val="auto"/>
        </w:rPr>
      </w:pPr>
    </w:p>
    <w:p>
      <w:pPr>
        <w:spacing w:line="336" w:lineRule="auto"/>
        <w:jc w:val="center"/>
        <w:rPr>
          <w:rFonts w:ascii="Times New Roman" w:hAnsi="Times New Roman" w:eastAsia="宋体" w:cs="Times New Roman"/>
          <w:color w:val="auto"/>
          <w:kern w:val="0"/>
          <w:szCs w:val="21"/>
        </w:rPr>
      </w:pPr>
      <w:r>
        <w:rPr>
          <w:rFonts w:ascii="Times New Roman" w:hAnsi="Times New Roman" w:cs="Times New Roman"/>
          <w:color w:val="auto"/>
        </w:rPr>
        <w:drawing>
          <wp:inline distT="0" distB="0" distL="0" distR="0">
            <wp:extent cx="5274310" cy="2465070"/>
            <wp:effectExtent l="0" t="0" r="13970" b="381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9"/>
                    <a:srcRect t="14531"/>
                    <a:stretch>
                      <a:fillRect/>
                    </a:stretch>
                  </pic:blipFill>
                  <pic:spPr>
                    <a:xfrm>
                      <a:off x="0" y="0"/>
                      <a:ext cx="5274310" cy="2465070"/>
                    </a:xfrm>
                    <a:prstGeom prst="rect">
                      <a:avLst/>
                    </a:prstGeom>
                    <a:ln>
                      <a:noFill/>
                    </a:ln>
                  </pic:spPr>
                </pic:pic>
              </a:graphicData>
            </a:graphic>
          </wp:inline>
        </w:drawing>
      </w:r>
    </w:p>
    <w:p>
      <w:pPr>
        <w:pStyle w:val="23"/>
        <w:numPr>
          <w:ilvl w:val="0"/>
          <w:numId w:val="13"/>
        </w:numPr>
        <w:spacing w:line="336" w:lineRule="auto"/>
        <w:ind w:firstLineChars="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WHO《医疗废物安全管理》中典型医疗废物组成</w:t>
      </w:r>
    </w:p>
    <w:p>
      <w:pPr>
        <w:pStyle w:val="32"/>
        <w:ind w:firstLine="480"/>
        <w:rPr>
          <w:color w:val="auto"/>
        </w:rPr>
      </w:pPr>
      <w:r>
        <w:rPr>
          <w:color w:val="auto"/>
        </w:rPr>
        <w:t>修订后的2014版蓝皮书中将医疗废物划分为两大类——有害医疗废物和普通医疗废物，其中有害医疗废物又细分为七小类，详见下表：</w:t>
      </w:r>
    </w:p>
    <w:p>
      <w:pPr>
        <w:pStyle w:val="23"/>
        <w:numPr>
          <w:ilvl w:val="0"/>
          <w:numId w:val="14"/>
        </w:numPr>
        <w:spacing w:line="336" w:lineRule="auto"/>
        <w:ind w:firstLineChars="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WHO《医疗废物安全管理》</w:t>
      </w:r>
      <w:r>
        <w:rPr>
          <w:rFonts w:hint="eastAsia" w:ascii="Times New Roman" w:hAnsi="Times New Roman" w:eastAsia="宋体" w:cs="Times New Roman"/>
          <w:b/>
          <w:color w:val="auto"/>
          <w:kern w:val="0"/>
          <w:szCs w:val="21"/>
        </w:rPr>
        <w:t>中医疗废物分类</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96"/>
        <w:gridCol w:w="66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vAlign w:val="center"/>
          </w:tcPr>
          <w:p>
            <w:pPr>
              <w:rPr>
                <w:rFonts w:ascii="Times New Roman" w:hAnsi="Times New Roman" w:eastAsia="宋体" w:cs="Times New Roman"/>
                <w:b/>
                <w:color w:val="auto"/>
                <w:kern w:val="0"/>
                <w:sz w:val="21"/>
                <w:szCs w:val="21"/>
              </w:rPr>
            </w:pPr>
            <w:r>
              <w:rPr>
                <w:rFonts w:ascii="Times New Roman" w:hAnsi="Times New Roman" w:eastAsia="宋体" w:cs="Times New Roman"/>
                <w:b/>
                <w:color w:val="auto"/>
                <w:kern w:val="0"/>
                <w:sz w:val="21"/>
                <w:szCs w:val="21"/>
              </w:rPr>
              <w:t>有害医疗废物</w:t>
            </w:r>
          </w:p>
        </w:tc>
        <w:tc>
          <w:tcPr>
            <w:tcW w:w="6600" w:type="dxa"/>
            <w:vAlign w:val="center"/>
          </w:tcPr>
          <w:p>
            <w:pPr>
              <w:jc w:val="center"/>
              <w:rPr>
                <w:rFonts w:ascii="Times New Roman" w:hAnsi="Times New Roman" w:eastAsia="宋体" w:cs="Times New Roman"/>
                <w:b/>
                <w:color w:val="auto"/>
                <w:kern w:val="0"/>
                <w:sz w:val="21"/>
                <w:szCs w:val="21"/>
              </w:rPr>
            </w:pPr>
            <w:r>
              <w:rPr>
                <w:rFonts w:hint="eastAsia" w:ascii="Times New Roman" w:hAnsi="Times New Roman" w:eastAsia="宋体" w:cs="Times New Roman"/>
                <w:b/>
                <w:color w:val="auto"/>
                <w:kern w:val="0"/>
                <w:sz w:val="21"/>
                <w:szCs w:val="21"/>
              </w:rPr>
              <w:t>组成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vAlign w:val="center"/>
          </w:tcPr>
          <w:p>
            <w:pP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损伤性锋利物</w:t>
            </w:r>
          </w:p>
        </w:tc>
        <w:tc>
          <w:tcPr>
            <w:tcW w:w="6600" w:type="dxa"/>
            <w:vAlign w:val="center"/>
          </w:tcPr>
          <w:p>
            <w:pP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使用或未使用的利器(例如皮下注射、静脉注射或其他针头；自毁式注射器；带针头的注射器；输液装置；手术刀；吸管；刀；刀片；碎玻璃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vAlign w:val="center"/>
          </w:tcPr>
          <w:p>
            <w:pP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感染性废物</w:t>
            </w:r>
          </w:p>
        </w:tc>
        <w:tc>
          <w:tcPr>
            <w:tcW w:w="6600" w:type="dxa"/>
            <w:vAlign w:val="center"/>
          </w:tcPr>
          <w:p>
            <w:pP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被怀疑含有病原体并有传播疾病风险的废物(如经血液和其他体液污染的废物；实验室培养物和微生物储备；隔离病房高传染性疾病患者接触过的排泄物等废物)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vAlign w:val="center"/>
          </w:tcPr>
          <w:p>
            <w:pP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病理性废物</w:t>
            </w:r>
          </w:p>
        </w:tc>
        <w:tc>
          <w:tcPr>
            <w:tcW w:w="6600" w:type="dxa"/>
            <w:vAlign w:val="center"/>
          </w:tcPr>
          <w:p>
            <w:pP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人体组织、器官或液体；身体部位；胎儿；未使用的血液制品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vAlign w:val="center"/>
          </w:tcPr>
          <w:p>
            <w:pP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药物性废物</w:t>
            </w:r>
          </w:p>
        </w:tc>
        <w:tc>
          <w:tcPr>
            <w:tcW w:w="6600" w:type="dxa"/>
            <w:vAlign w:val="center"/>
          </w:tcPr>
          <w:p>
            <w:pP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过期或不再需要的药品；被药品污染或含有药品的物品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vAlign w:val="center"/>
          </w:tcPr>
          <w:p>
            <w:pP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细胞毒性废物</w:t>
            </w:r>
          </w:p>
        </w:tc>
        <w:tc>
          <w:tcPr>
            <w:tcW w:w="6600" w:type="dxa"/>
            <w:vAlign w:val="center"/>
          </w:tcPr>
          <w:p>
            <w:pP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含有遗传毒性物质的细胞毒性废物(如常用于治疗癌症的含有细胞抑制药物的废物；基因毒性化学物质)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vAlign w:val="center"/>
          </w:tcPr>
          <w:p>
            <w:pP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化学性废物</w:t>
            </w:r>
          </w:p>
        </w:tc>
        <w:tc>
          <w:tcPr>
            <w:tcW w:w="6600" w:type="dxa"/>
            <w:vAlign w:val="center"/>
          </w:tcPr>
          <w:p>
            <w:pP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含有化学物质的废物(例如化验试剂；胶片显影剂；过期或不再需要的消毒剂；溶剂；重金属含量高的废物如电池；损坏的温度计和血压计)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vAlign w:val="center"/>
          </w:tcPr>
          <w:p>
            <w:pP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放射性废物</w:t>
            </w:r>
          </w:p>
        </w:tc>
        <w:tc>
          <w:tcPr>
            <w:tcW w:w="6600" w:type="dxa"/>
            <w:vAlign w:val="center"/>
          </w:tcPr>
          <w:p>
            <w:pP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含有放射性物质的废物(如放射治疗或实验室研究中未使用的液体、受污染的玻璃器皿、包装或吸收纸；接受放射性治疗的病人尿液和排泄物；的尿液和排泄物)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vAlign w:val="center"/>
          </w:tcPr>
          <w:p>
            <w:pPr>
              <w:rPr>
                <w:rFonts w:ascii="Times New Roman" w:hAnsi="Times New Roman" w:eastAsia="宋体" w:cs="Times New Roman"/>
                <w:b/>
                <w:color w:val="auto"/>
                <w:kern w:val="0"/>
                <w:sz w:val="21"/>
                <w:szCs w:val="21"/>
              </w:rPr>
            </w:pPr>
            <w:r>
              <w:rPr>
                <w:rFonts w:ascii="Times New Roman" w:hAnsi="Times New Roman" w:eastAsia="宋体" w:cs="Times New Roman"/>
                <w:b/>
                <w:color w:val="auto"/>
                <w:kern w:val="0"/>
                <w:sz w:val="21"/>
                <w:szCs w:val="21"/>
              </w:rPr>
              <w:t>普通医疗废物</w:t>
            </w:r>
          </w:p>
        </w:tc>
        <w:tc>
          <w:tcPr>
            <w:tcW w:w="6600" w:type="dxa"/>
            <w:vAlign w:val="center"/>
          </w:tcPr>
          <w:p>
            <w:pPr>
              <w:rPr>
                <w:rFonts w:ascii="Times New Roman" w:hAnsi="Times New Roman" w:eastAsia="宋体" w:cs="Times New Roman"/>
                <w:color w:val="auto"/>
                <w:kern w:val="0"/>
                <w:sz w:val="21"/>
                <w:szCs w:val="21"/>
              </w:rPr>
            </w:pPr>
            <w:r>
              <w:rPr>
                <w:rFonts w:ascii="Times New Roman" w:hAnsi="Times New Roman" w:eastAsia="宋体" w:cs="Times New Roman"/>
                <w:color w:val="auto"/>
                <w:kern w:val="0"/>
                <w:sz w:val="21"/>
                <w:szCs w:val="21"/>
              </w:rPr>
              <w:t>不构成任何特定生物、化学、放射性或物理危害的废物</w:t>
            </w:r>
          </w:p>
        </w:tc>
      </w:tr>
    </w:tbl>
    <w:p>
      <w:pPr>
        <w:spacing w:line="336" w:lineRule="auto"/>
        <w:rPr>
          <w:rFonts w:ascii="Times New Roman" w:hAnsi="Times New Roman" w:eastAsia="宋体" w:cs="Times New Roman"/>
          <w:color w:val="auto"/>
          <w:kern w:val="0"/>
          <w:szCs w:val="21"/>
        </w:rPr>
      </w:pPr>
    </w:p>
    <w:p>
      <w:pPr>
        <w:pStyle w:val="32"/>
        <w:ind w:firstLine="480"/>
        <w:rPr>
          <w:color w:val="auto"/>
        </w:rPr>
      </w:pPr>
      <w:r>
        <w:rPr>
          <w:color w:val="auto"/>
        </w:rPr>
        <w:t>该书指出，国家立法是保证医疗废物安全处理的核心基础，法律条文包括废物的处理、分类、收集、分装和运输，以及各种人员的责任和培训，同时必须有政府文件及相关技术指导作为补充说明。在实施过程中，要做好示范工作，逐步、逐级、逐一地实施，以保证医疗废物管理的正确落实。该书也进一步指出，医疗废物管理是一个连续的过程，需要周期性的监测和评估</w:t>
      </w:r>
      <w:r>
        <w:rPr>
          <w:rFonts w:hint="eastAsia"/>
          <w:color w:val="auto"/>
        </w:rPr>
        <w:t>，</w:t>
      </w:r>
      <w:r>
        <w:rPr>
          <w:color w:val="auto"/>
        </w:rPr>
        <w:t>国家推荐的处理方法应根据科研的最新进展定期更新。世界卫生组织关于国家立法和管理行动计划的基本提法成为世界各国推进医疗废物管理的重要立法管理导向。</w:t>
      </w:r>
    </w:p>
    <w:p>
      <w:pPr>
        <w:pStyle w:val="32"/>
        <w:ind w:firstLine="480"/>
        <w:rPr>
          <w:color w:val="auto"/>
        </w:rPr>
      </w:pPr>
      <w:r>
        <w:rPr>
          <w:color w:val="auto"/>
        </w:rPr>
        <w:t>在WHO支持的医疗废物管理相关活动导向性原则方面，与医疗废物焚烧处置有关的内容包括：1</w:t>
      </w:r>
      <w:r>
        <w:rPr>
          <w:rFonts w:hint="eastAsia"/>
          <w:color w:val="auto"/>
        </w:rPr>
        <w:t>）</w:t>
      </w:r>
      <w:r>
        <w:rPr>
          <w:color w:val="auto"/>
        </w:rPr>
        <w:t>支持在全球范围内减少有害气体的排放，减少疾病发生，延缓全球气候变暖；2</w:t>
      </w:r>
      <w:r>
        <w:rPr>
          <w:rFonts w:hint="eastAsia"/>
          <w:color w:val="auto"/>
        </w:rPr>
        <w:t>）</w:t>
      </w:r>
      <w:r>
        <w:rPr>
          <w:color w:val="auto"/>
        </w:rPr>
        <w:t>支持斯德哥尔摩公约履约的相关活动；3</w:t>
      </w:r>
      <w:r>
        <w:rPr>
          <w:rFonts w:hint="eastAsia"/>
          <w:color w:val="auto"/>
        </w:rPr>
        <w:t>）</w:t>
      </w:r>
      <w:r>
        <w:rPr>
          <w:color w:val="auto"/>
        </w:rPr>
        <w:t>支持关于危险废物和其它废物履行巴塞尔公约的活动；4</w:t>
      </w:r>
      <w:r>
        <w:rPr>
          <w:rFonts w:hint="eastAsia"/>
          <w:color w:val="auto"/>
        </w:rPr>
        <w:t>）</w:t>
      </w:r>
      <w:r>
        <w:rPr>
          <w:color w:val="auto"/>
        </w:rPr>
        <w:t>通过促进采用高温焚烧可行实践，减少同废物焚烧有关的有毒污染物暴露。</w:t>
      </w:r>
    </w:p>
    <w:p>
      <w:pPr>
        <w:pStyle w:val="32"/>
        <w:ind w:firstLine="480"/>
        <w:rPr>
          <w:color w:val="auto"/>
        </w:rPr>
      </w:pPr>
      <w:r>
        <w:rPr>
          <w:color w:val="auto"/>
        </w:rPr>
        <w:t>2019</w:t>
      </w:r>
      <w:r>
        <w:rPr>
          <w:rFonts w:hint="eastAsia"/>
          <w:color w:val="auto"/>
        </w:rPr>
        <w:t>年</w:t>
      </w:r>
      <w:r>
        <w:rPr>
          <w:color w:val="auto"/>
        </w:rPr>
        <w:t>WHO</w:t>
      </w:r>
      <w:r>
        <w:rPr>
          <w:rFonts w:hint="eastAsia"/>
          <w:color w:val="auto"/>
        </w:rPr>
        <w:t>编辑出版了《医疗机构传染性和尖锐废物处理技术概述》（</w:t>
      </w:r>
      <w:r>
        <w:rPr>
          <w:color w:val="auto"/>
        </w:rPr>
        <w:t>Overview of technologies for the treatment of infectious and sharp waste from health care facilities</w:t>
      </w:r>
      <w:r>
        <w:rPr>
          <w:rFonts w:hint="eastAsia"/>
          <w:color w:val="auto"/>
        </w:rPr>
        <w:t>），其目的在于：一</w:t>
      </w:r>
      <w:r>
        <w:rPr>
          <w:color w:val="auto"/>
        </w:rPr>
        <w:t>是提供选择技术的标准，以促进</w:t>
      </w:r>
      <w:r>
        <w:rPr>
          <w:rFonts w:hint="eastAsia"/>
          <w:color w:val="auto"/>
        </w:rPr>
        <w:t>和</w:t>
      </w:r>
      <w:r>
        <w:rPr>
          <w:color w:val="auto"/>
        </w:rPr>
        <w:t>改善</w:t>
      </w:r>
      <w:r>
        <w:rPr>
          <w:rFonts w:hint="eastAsia"/>
          <w:color w:val="auto"/>
        </w:rPr>
        <w:t>医疗机构对于医疗废物管理的决策；</w:t>
      </w:r>
      <w:r>
        <w:rPr>
          <w:color w:val="auto"/>
        </w:rPr>
        <w:t>二是概述用于处理感染性</w:t>
      </w:r>
      <w:r>
        <w:rPr>
          <w:rFonts w:hint="eastAsia"/>
          <w:color w:val="auto"/>
        </w:rPr>
        <w:t>废物</w:t>
      </w:r>
      <w:r>
        <w:rPr>
          <w:color w:val="auto"/>
        </w:rPr>
        <w:t>和尖锐废物的具体</w:t>
      </w:r>
      <w:r>
        <w:rPr>
          <w:rFonts w:hint="eastAsia"/>
          <w:color w:val="auto"/>
        </w:rPr>
        <w:t>处置</w:t>
      </w:r>
      <w:r>
        <w:rPr>
          <w:color w:val="auto"/>
        </w:rPr>
        <w:t>技术，供</w:t>
      </w:r>
      <w:r>
        <w:rPr>
          <w:rFonts w:hint="eastAsia"/>
          <w:color w:val="auto"/>
        </w:rPr>
        <w:t>医疗机构</w:t>
      </w:r>
      <w:r>
        <w:rPr>
          <w:color w:val="auto"/>
        </w:rPr>
        <w:t>管理人员和规划人员、传染病预防控制工作人员、国家规划</w:t>
      </w:r>
      <w:r>
        <w:rPr>
          <w:rFonts w:hint="eastAsia"/>
          <w:color w:val="auto"/>
        </w:rPr>
        <w:t>人员等</w:t>
      </w:r>
      <w:r>
        <w:rPr>
          <w:color w:val="auto"/>
        </w:rPr>
        <w:t>使用。对于每种技术</w:t>
      </w:r>
      <w:r>
        <w:rPr>
          <w:rFonts w:hint="eastAsia"/>
          <w:color w:val="auto"/>
        </w:rPr>
        <w:t>，详细说明其操作、对环境和健康的影响、安装要求和能力。</w:t>
      </w:r>
    </w:p>
    <w:p>
      <w:pPr>
        <w:pStyle w:val="32"/>
        <w:ind w:firstLine="199" w:firstLineChars="83"/>
        <w:rPr>
          <w:color w:val="auto"/>
        </w:rPr>
      </w:pPr>
      <w:r>
        <w:rPr>
          <w:rFonts w:hint="eastAsia"/>
          <w:color w:val="auto"/>
        </w:rPr>
        <w:t>（</w:t>
      </w:r>
      <w:r>
        <w:rPr>
          <w:color w:val="auto"/>
        </w:rPr>
        <w:t>4</w:t>
      </w:r>
      <w:r>
        <w:rPr>
          <w:rFonts w:hint="eastAsia"/>
          <w:color w:val="auto"/>
        </w:rPr>
        <w:t>）关于汞的水俣公约</w:t>
      </w:r>
    </w:p>
    <w:p>
      <w:pPr>
        <w:pStyle w:val="32"/>
        <w:ind w:firstLine="480"/>
        <w:rPr>
          <w:color w:val="auto"/>
        </w:rPr>
      </w:pPr>
      <w:r>
        <w:rPr>
          <w:rFonts w:hint="eastAsia"/>
          <w:color w:val="auto"/>
        </w:rPr>
        <w:t>《关于汞的水俣公约》于</w:t>
      </w:r>
      <w:r>
        <w:rPr>
          <w:color w:val="auto"/>
        </w:rPr>
        <w:t>2013</w:t>
      </w:r>
      <w:r>
        <w:rPr>
          <w:rFonts w:hint="eastAsia"/>
          <w:color w:val="auto"/>
        </w:rPr>
        <w:t>年</w:t>
      </w:r>
      <w:r>
        <w:rPr>
          <w:color w:val="auto"/>
        </w:rPr>
        <w:t>10</w:t>
      </w:r>
      <w:r>
        <w:rPr>
          <w:rFonts w:hint="eastAsia"/>
          <w:color w:val="auto"/>
        </w:rPr>
        <w:t>月</w:t>
      </w:r>
      <w:r>
        <w:rPr>
          <w:color w:val="auto"/>
        </w:rPr>
        <w:t>10</w:t>
      </w:r>
      <w:r>
        <w:rPr>
          <w:rFonts w:hint="eastAsia"/>
          <w:color w:val="auto"/>
        </w:rPr>
        <w:t>日在由联合国环境规划署主办的“汞条约外交会议”中通过，旨在控制和减少全球汞排放。包括中国在内的</w:t>
      </w:r>
      <w:r>
        <w:rPr>
          <w:color w:val="auto"/>
        </w:rPr>
        <w:t>87</w:t>
      </w:r>
      <w:r>
        <w:rPr>
          <w:rFonts w:hint="eastAsia"/>
          <w:color w:val="auto"/>
        </w:rPr>
        <w:t>个国家和地区的代表共同签署公约，将自</w:t>
      </w:r>
      <w:r>
        <w:rPr>
          <w:color w:val="auto"/>
        </w:rPr>
        <w:t>2017</w:t>
      </w:r>
      <w:r>
        <w:rPr>
          <w:rFonts w:hint="eastAsia"/>
          <w:color w:val="auto"/>
        </w:rPr>
        <w:t>年</w:t>
      </w:r>
      <w:r>
        <w:rPr>
          <w:color w:val="auto"/>
        </w:rPr>
        <w:t>8</w:t>
      </w:r>
      <w:r>
        <w:rPr>
          <w:rFonts w:hint="eastAsia"/>
          <w:color w:val="auto"/>
        </w:rPr>
        <w:t>月</w:t>
      </w:r>
      <w:r>
        <w:rPr>
          <w:color w:val="auto"/>
        </w:rPr>
        <w:t>16</w:t>
      </w:r>
      <w:r>
        <w:rPr>
          <w:rFonts w:hint="eastAsia"/>
          <w:color w:val="auto"/>
        </w:rPr>
        <w:t>日起对我国正式生效。公约提出对含汞类产品的限制，规定了</w:t>
      </w:r>
      <w:r>
        <w:rPr>
          <w:color w:val="auto"/>
        </w:rPr>
        <w:t>2020</w:t>
      </w:r>
      <w:r>
        <w:rPr>
          <w:rFonts w:hint="eastAsia"/>
          <w:color w:val="auto"/>
        </w:rPr>
        <w:t>年前禁止生产和进出口的含汞类产品清单，其中第九项为“气压计、湿度计、压力表、温度计和血压计等非电子测量仪器，不包括在无法获得适当无汞替代品的情况下，安装在大型设备中或用于高精度测量的非电子测量设备”。针对医疗用品而言，含汞体温计和含汞血压计的生产和使用将逐步停止或被替代，汞合金牙齿填充物也将逐步淘汰使用。我国原环境保护部会同相关部委</w:t>
      </w:r>
      <w:r>
        <w:rPr>
          <w:color w:val="auto"/>
        </w:rPr>
        <w:t>2017</w:t>
      </w:r>
      <w:r>
        <w:rPr>
          <w:rFonts w:hint="eastAsia"/>
          <w:color w:val="auto"/>
        </w:rPr>
        <w:t>年发布的第</w:t>
      </w:r>
      <w:r>
        <w:rPr>
          <w:color w:val="auto"/>
        </w:rPr>
        <w:t>38</w:t>
      </w:r>
      <w:r>
        <w:rPr>
          <w:rFonts w:hint="eastAsia"/>
          <w:color w:val="auto"/>
        </w:rPr>
        <w:t>号公告，明确“自</w:t>
      </w:r>
      <w:r>
        <w:rPr>
          <w:color w:val="auto"/>
        </w:rPr>
        <w:t>2026</w:t>
      </w:r>
      <w:r>
        <w:rPr>
          <w:rFonts w:hint="eastAsia"/>
          <w:color w:val="auto"/>
        </w:rPr>
        <w:t>年</w:t>
      </w:r>
      <w:r>
        <w:rPr>
          <w:color w:val="auto"/>
        </w:rPr>
        <w:t>1</w:t>
      </w:r>
      <w:r>
        <w:rPr>
          <w:rFonts w:hint="eastAsia"/>
          <w:color w:val="auto"/>
        </w:rPr>
        <w:t>月</w:t>
      </w:r>
      <w:r>
        <w:rPr>
          <w:color w:val="auto"/>
        </w:rPr>
        <w:t>1</w:t>
      </w:r>
      <w:r>
        <w:rPr>
          <w:rFonts w:hint="eastAsia"/>
          <w:color w:val="auto"/>
        </w:rPr>
        <w:t>日起，禁止生产含汞体温计和含汞血压计”。</w:t>
      </w:r>
    </w:p>
    <w:p>
      <w:pPr>
        <w:pStyle w:val="4"/>
        <w:rPr>
          <w:rFonts w:cs="Times New Roman"/>
          <w:color w:val="auto"/>
          <w:lang w:val="zh-CN"/>
        </w:rPr>
      </w:pPr>
      <w:bookmarkStart w:id="117" w:name="_Toc11514"/>
      <w:r>
        <w:rPr>
          <w:rFonts w:cs="Times New Roman"/>
          <w:color w:val="auto"/>
          <w:lang w:val="zh-CN"/>
        </w:rPr>
        <w:t>国外</w:t>
      </w:r>
      <w:r>
        <w:rPr>
          <w:rFonts w:hint="eastAsia" w:cs="Times New Roman"/>
          <w:color w:val="auto"/>
          <w:lang w:val="zh-CN"/>
        </w:rPr>
        <w:t>医疗废物管理体系</w:t>
      </w:r>
      <w:bookmarkEnd w:id="117"/>
    </w:p>
    <w:p>
      <w:pPr>
        <w:pStyle w:val="32"/>
        <w:ind w:firstLine="0" w:firstLineChars="0"/>
        <w:rPr>
          <w:color w:val="auto"/>
        </w:rPr>
      </w:pPr>
      <w:r>
        <w:rPr>
          <w:rFonts w:hint="eastAsia"/>
          <w:color w:val="auto"/>
        </w:rPr>
        <w:t>（</w:t>
      </w:r>
      <w:r>
        <w:rPr>
          <w:color w:val="auto"/>
        </w:rPr>
        <w:t>1</w:t>
      </w:r>
      <w:r>
        <w:rPr>
          <w:rFonts w:hint="eastAsia"/>
          <w:color w:val="auto"/>
        </w:rPr>
        <w:t>）</w:t>
      </w:r>
      <w:r>
        <w:rPr>
          <w:color w:val="auto"/>
        </w:rPr>
        <w:t>欧盟</w:t>
      </w:r>
      <w:r>
        <w:rPr>
          <w:rFonts w:hint="eastAsia"/>
          <w:color w:val="auto"/>
        </w:rPr>
        <w:t>医疗废物管理体系</w:t>
      </w:r>
    </w:p>
    <w:p>
      <w:pPr>
        <w:pStyle w:val="32"/>
        <w:ind w:firstLine="480"/>
        <w:rPr>
          <w:color w:val="auto"/>
        </w:rPr>
      </w:pPr>
      <w:r>
        <w:rPr>
          <w:color w:val="auto"/>
        </w:rPr>
        <w:t>在医疗废物焚烧处置方面</w:t>
      </w:r>
      <w:r>
        <w:rPr>
          <w:rFonts w:hint="eastAsia"/>
          <w:color w:val="auto"/>
        </w:rPr>
        <w:t>，</w:t>
      </w:r>
      <w:r>
        <w:rPr>
          <w:color w:val="auto"/>
        </w:rPr>
        <w:t>欧盟也在逐渐创造各种条件以不同方式解决医疗废物管理问题。在欧盟国家，医院及</w:t>
      </w:r>
      <w:r>
        <w:rPr>
          <w:rFonts w:hint="eastAsia"/>
          <w:color w:val="auto"/>
        </w:rPr>
        <w:t>其它</w:t>
      </w:r>
      <w:r>
        <w:rPr>
          <w:color w:val="auto"/>
        </w:rPr>
        <w:t>卫生机构所产生的固体废物类可以作为城市固体废物，而传染性的或者有害的废物，要求用特殊方法进行处置。欧洲目前处置医疗废物的主要形式仍然是以焚烧为主</w:t>
      </w:r>
      <w:r>
        <w:rPr>
          <w:rFonts w:hint="eastAsia"/>
          <w:color w:val="auto"/>
        </w:rPr>
        <w:t>，</w:t>
      </w:r>
      <w:r>
        <w:rPr>
          <w:color w:val="auto"/>
        </w:rPr>
        <w:t>但必须满足大气污染控制标准的要求。欧盟的所有废物都要遵循欧委会指令75/442/EEC</w:t>
      </w:r>
      <w:r>
        <w:rPr>
          <w:rFonts w:hint="eastAsia"/>
          <w:color w:val="auto"/>
        </w:rPr>
        <w:t>，</w:t>
      </w:r>
      <w:r>
        <w:rPr>
          <w:color w:val="auto"/>
        </w:rPr>
        <w:t>危险废物还必须遵循欧委会指令91/689/EEC，欧盟没有单独的医疗废物立法，因此医疗废物的管理应该受到废物和危险废物管理立法的制约，欧委会指令2000/76/EC焚烧指令取代了三项旧的指令，并建立了焚烧厂的许可证条件。该指令还包括与废物</w:t>
      </w:r>
      <w:r>
        <w:rPr>
          <w:rFonts w:hint="eastAsia"/>
          <w:color w:val="auto"/>
        </w:rPr>
        <w:t>转运</w:t>
      </w:r>
      <w:r>
        <w:rPr>
          <w:color w:val="auto"/>
        </w:rPr>
        <w:t>和</w:t>
      </w:r>
      <w:r>
        <w:rPr>
          <w:rFonts w:hint="eastAsia"/>
          <w:color w:val="auto"/>
        </w:rPr>
        <w:t>接收</w:t>
      </w:r>
      <w:r>
        <w:rPr>
          <w:color w:val="auto"/>
        </w:rPr>
        <w:t>的要求以及焚烧废渣的管理，依据指令的要求，在适当的情况下废渣应该循环利用。另外，该指令还包括对大气</w:t>
      </w:r>
      <w:r>
        <w:rPr>
          <w:rFonts w:hint="eastAsia"/>
          <w:color w:val="auto"/>
        </w:rPr>
        <w:t>污染物</w:t>
      </w:r>
      <w:r>
        <w:rPr>
          <w:color w:val="auto"/>
        </w:rPr>
        <w:t>排放的控制和监测的要求。自2014年1月7日起生效的</w:t>
      </w:r>
      <w:r>
        <w:rPr>
          <w:rFonts w:hint="eastAsia"/>
          <w:color w:val="auto"/>
        </w:rPr>
        <w:t>《</w:t>
      </w:r>
      <w:r>
        <w:rPr>
          <w:color w:val="auto"/>
        </w:rPr>
        <w:t>工业污染物排放</w:t>
      </w:r>
      <w:r>
        <w:rPr>
          <w:rFonts w:hint="eastAsia"/>
          <w:color w:val="auto"/>
        </w:rPr>
        <w:t>控制指令》</w:t>
      </w:r>
      <w:r>
        <w:rPr>
          <w:color w:val="auto"/>
        </w:rPr>
        <w:t>2010/75/EU 取代了包括《废弃物焚烧指令》2000/76/EC在内的多项污染物排放控制指令。</w:t>
      </w:r>
    </w:p>
    <w:p>
      <w:pPr>
        <w:pStyle w:val="32"/>
        <w:ind w:firstLine="0" w:firstLineChars="0"/>
        <w:rPr>
          <w:color w:val="auto"/>
        </w:rPr>
      </w:pPr>
      <w:r>
        <w:rPr>
          <w:rFonts w:hint="eastAsia"/>
          <w:color w:val="auto"/>
        </w:rPr>
        <w:t>（</w:t>
      </w:r>
      <w:r>
        <w:rPr>
          <w:color w:val="auto"/>
        </w:rPr>
        <w:t>2</w:t>
      </w:r>
      <w:r>
        <w:rPr>
          <w:rFonts w:hint="eastAsia"/>
          <w:color w:val="auto"/>
        </w:rPr>
        <w:t>）</w:t>
      </w:r>
      <w:r>
        <w:rPr>
          <w:color w:val="auto"/>
        </w:rPr>
        <w:t>日本</w:t>
      </w:r>
      <w:r>
        <w:rPr>
          <w:rFonts w:hint="eastAsia"/>
          <w:color w:val="auto"/>
        </w:rPr>
        <w:t>医疗废物管理体系</w:t>
      </w:r>
    </w:p>
    <w:p>
      <w:pPr>
        <w:pStyle w:val="32"/>
        <w:ind w:firstLine="480"/>
        <w:rPr>
          <w:color w:val="auto"/>
        </w:rPr>
      </w:pPr>
      <w:r>
        <w:rPr>
          <w:rFonts w:hint="eastAsia"/>
          <w:color w:val="auto"/>
        </w:rPr>
        <w:t>日本的医疗废物管理工作目前主要由日本环境省直辖的环境再生与资源循环局负责，通过编制政策法规、相关标准及技术指南，指导并规范全国范围内的医疗废物处理处置。在地方层面，都道府县均设有环境局，负责本区域内相关政策的落实。</w:t>
      </w:r>
    </w:p>
    <w:p>
      <w:pPr>
        <w:pStyle w:val="32"/>
        <w:ind w:firstLine="480"/>
        <w:rPr>
          <w:color w:val="auto"/>
        </w:rPr>
      </w:pPr>
      <w:r>
        <w:rPr>
          <w:color w:val="auto"/>
        </w:rPr>
        <w:t>1989</w:t>
      </w:r>
      <w:r>
        <w:rPr>
          <w:rFonts w:hint="eastAsia"/>
          <w:color w:val="auto"/>
        </w:rPr>
        <w:t>年日本厚生劳动省制定了“医疗废物处理指南”，</w:t>
      </w:r>
      <w:r>
        <w:rPr>
          <w:color w:val="auto"/>
        </w:rPr>
        <w:t>1992</w:t>
      </w:r>
      <w:r>
        <w:rPr>
          <w:rFonts w:hint="eastAsia"/>
          <w:color w:val="auto"/>
        </w:rPr>
        <w:t>年修订的《废物管理法》中将“感染性废弃物”合法地归为“特别管理产业废弃物”，即“从医疗机构排出，含有或附着感染性病原体的废弃物”，此外还创建了《</w:t>
      </w:r>
      <w:r>
        <w:rPr>
          <w:color w:val="auto"/>
        </w:rPr>
        <w:t>基于废弃物处理法的感染性废弃物处理</w:t>
      </w:r>
      <w:r>
        <w:rPr>
          <w:rFonts w:hint="eastAsia"/>
          <w:color w:val="auto"/>
        </w:rPr>
        <w:t>手册》在其</w:t>
      </w:r>
      <w:r>
        <w:rPr>
          <w:color w:val="auto"/>
        </w:rPr>
        <w:t>2018</w:t>
      </w:r>
      <w:r>
        <w:rPr>
          <w:rFonts w:hint="eastAsia"/>
          <w:color w:val="auto"/>
        </w:rPr>
        <w:t>年的修订中，对</w:t>
      </w:r>
      <w:r>
        <w:rPr>
          <w:color w:val="auto"/>
        </w:rPr>
        <w:t>感染性废弃物处理处置相关责任主体、管理体系建设、设施内处理、运输、委托处理、最终处置</w:t>
      </w:r>
      <w:r>
        <w:rPr>
          <w:rFonts w:hint="eastAsia"/>
          <w:color w:val="auto"/>
        </w:rPr>
        <w:t>做出</w:t>
      </w:r>
      <w:r>
        <w:rPr>
          <w:color w:val="auto"/>
        </w:rPr>
        <w:t>明确规定。</w:t>
      </w:r>
      <w:r>
        <w:rPr>
          <w:rFonts w:hint="eastAsia"/>
          <w:color w:val="auto"/>
        </w:rPr>
        <w:t>感染性废弃物处理手册规定，“医疗机构包括医院、诊疗所（保健所、血液中心等）、牙科诊所、卫生检查所、养老院、助产所、动物医院以及试验研究机构等”，</w:t>
      </w:r>
      <w:bookmarkStart w:id="118" w:name="OLE_LINK2"/>
      <w:bookmarkStart w:id="119" w:name="OLE_LINK1"/>
      <w:r>
        <w:rPr>
          <w:rFonts w:hint="eastAsia"/>
          <w:color w:val="auto"/>
        </w:rPr>
        <w:t>感染性废弃物</w:t>
      </w:r>
      <w:bookmarkEnd w:id="118"/>
      <w:bookmarkEnd w:id="119"/>
      <w:r>
        <w:rPr>
          <w:rFonts w:hint="eastAsia"/>
          <w:color w:val="auto"/>
        </w:rPr>
        <w:t>又分为“感染性产业废弃物”和“感染性一般废弃物”，具体如下表所示。在日本的医疗废物管理体系中，对医疗废物进行感染性的判断需要经历多个步骤，从废弃物的形状、产生的场所以及感染病症的种类等多个方面划分产生的医疗废弃物是否具有感染性，从源头上的分类极大的减少了感染性医疗废物的产生量。需要指出的是，家庭产生的医疗废弃物，如糖尿病人注射用的针头等锐器，与感染性废物同等对待，其他非锐器废弃物可作为一般废弃物处置。</w:t>
      </w:r>
    </w:p>
    <w:p>
      <w:pPr>
        <w:pStyle w:val="23"/>
        <w:numPr>
          <w:ilvl w:val="0"/>
          <w:numId w:val="14"/>
        </w:numPr>
        <w:spacing w:line="336" w:lineRule="auto"/>
        <w:ind w:firstLineChars="0"/>
        <w:jc w:val="center"/>
        <w:rPr>
          <w:rFonts w:ascii="Times New Roman" w:hAnsi="Times New Roman" w:eastAsia="宋体" w:cs="Times New Roman"/>
          <w:b/>
          <w:color w:val="auto"/>
          <w:kern w:val="0"/>
          <w:szCs w:val="21"/>
        </w:rPr>
      </w:pPr>
      <w:r>
        <w:rPr>
          <w:rFonts w:hint="eastAsia" w:ascii="Times New Roman" w:hAnsi="Times New Roman" w:eastAsia="宋体" w:cs="Times New Roman"/>
          <w:b/>
          <w:color w:val="auto"/>
          <w:kern w:val="0"/>
          <w:szCs w:val="21"/>
        </w:rPr>
        <w:t>日本“感染性废弃物”示例</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2"/>
        <w:gridCol w:w="61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2" w:type="dxa"/>
            <w:vAlign w:val="center"/>
          </w:tcPr>
          <w:p>
            <w:pPr>
              <w:jc w:val="center"/>
              <w:rPr>
                <w:rFonts w:ascii="Times New Roman" w:hAnsi="Times New Roman" w:eastAsia="宋体" w:cs="Times New Roman"/>
                <w:b/>
                <w:color w:val="auto"/>
                <w:kern w:val="0"/>
                <w:sz w:val="21"/>
                <w:szCs w:val="21"/>
              </w:rPr>
            </w:pPr>
            <w:r>
              <w:rPr>
                <w:rFonts w:hint="eastAsia" w:ascii="Times New Roman" w:hAnsi="Times New Roman" w:eastAsia="宋体" w:cs="Times New Roman"/>
                <w:b/>
                <w:color w:val="auto"/>
                <w:kern w:val="0"/>
                <w:sz w:val="21"/>
                <w:szCs w:val="21"/>
              </w:rPr>
              <w:t>分类</w:t>
            </w:r>
          </w:p>
        </w:tc>
        <w:tc>
          <w:tcPr>
            <w:tcW w:w="6174" w:type="dxa"/>
            <w:vAlign w:val="center"/>
          </w:tcPr>
          <w:p>
            <w:pPr>
              <w:jc w:val="center"/>
              <w:rPr>
                <w:rFonts w:ascii="Times New Roman" w:hAnsi="Times New Roman" w:eastAsia="宋体" w:cs="Times New Roman"/>
                <w:b/>
                <w:color w:val="auto"/>
                <w:kern w:val="0"/>
                <w:sz w:val="21"/>
                <w:szCs w:val="21"/>
              </w:rPr>
            </w:pPr>
            <w:r>
              <w:rPr>
                <w:rFonts w:hint="eastAsia" w:ascii="Times New Roman" w:hAnsi="Times New Roman" w:eastAsia="宋体" w:cs="Times New Roman"/>
                <w:b/>
                <w:color w:val="auto"/>
                <w:kern w:val="0"/>
                <w:sz w:val="21"/>
                <w:szCs w:val="21"/>
              </w:rPr>
              <w:t>组成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2" w:type="dxa"/>
            <w:vAlign w:val="center"/>
          </w:tcPr>
          <w:p>
            <w:pPr>
              <w:rPr>
                <w:rFonts w:ascii="Times New Roman" w:hAnsi="Times New Roman" w:eastAsia="宋体" w:cs="Times New Roman"/>
                <w:b/>
                <w:color w:val="auto"/>
                <w:kern w:val="0"/>
                <w:sz w:val="20"/>
                <w:szCs w:val="21"/>
              </w:rPr>
            </w:pPr>
            <w:r>
              <w:rPr>
                <w:rFonts w:hint="eastAsia" w:ascii="Times New Roman" w:hAnsi="Times New Roman" w:eastAsia="宋体" w:cs="Times New Roman"/>
                <w:b/>
                <w:color w:val="auto"/>
                <w:kern w:val="0"/>
                <w:sz w:val="21"/>
                <w:szCs w:val="21"/>
              </w:rPr>
              <w:t>感染性产业废弃物</w:t>
            </w:r>
          </w:p>
        </w:tc>
        <w:tc>
          <w:tcPr>
            <w:tcW w:w="6174" w:type="dxa"/>
            <w:vAlign w:val="center"/>
          </w:tcPr>
          <w:p>
            <w:pP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焚烧后的灰；污泥、血液</w:t>
            </w:r>
            <w:r>
              <w:rPr>
                <w:rFonts w:ascii="Times New Roman" w:hAnsi="Times New Roman" w:eastAsia="宋体" w:cs="Times New Roman"/>
                <w:color w:val="auto"/>
                <w:kern w:val="0"/>
                <w:sz w:val="21"/>
                <w:szCs w:val="21"/>
              </w:rPr>
              <w:t>(凝固物)、废水处理设施排出的污泥等；</w:t>
            </w:r>
          </w:p>
          <w:p>
            <w:pP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废油，酒精，二甲苯、</w:t>
            </w:r>
            <w:r>
              <w:rPr>
                <w:rFonts w:ascii="Times New Roman" w:hAnsi="Times New Roman" w:eastAsia="宋体" w:cs="Times New Roman"/>
                <w:color w:val="auto"/>
                <w:kern w:val="0"/>
                <w:sz w:val="21"/>
                <w:szCs w:val="21"/>
              </w:rPr>
              <w:t>氯仿等有机溶剂、燃料油、供餐用食用油等；</w:t>
            </w:r>
          </w:p>
          <w:p>
            <w:pP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废酸，</w:t>
            </w:r>
            <w:r>
              <w:rPr>
                <w:rFonts w:ascii="Times New Roman" w:hAnsi="Times New Roman" w:eastAsia="宋体" w:cs="Times New Roman"/>
                <w:color w:val="auto"/>
                <w:kern w:val="0"/>
                <w:sz w:val="21"/>
                <w:szCs w:val="21"/>
              </w:rPr>
              <w:t>x光定影液、福尔马林、硫酸铬</w:t>
            </w:r>
            <w:r>
              <w:rPr>
                <w:rFonts w:hint="eastAsia" w:ascii="Times New Roman" w:hAnsi="Times New Roman" w:eastAsia="宋体" w:cs="Times New Roman"/>
                <w:color w:val="auto"/>
                <w:kern w:val="0"/>
                <w:sz w:val="21"/>
                <w:szCs w:val="21"/>
              </w:rPr>
              <w:t>、其他酸性废液</w:t>
            </w:r>
            <w:r>
              <w:rPr>
                <w:rFonts w:ascii="Times New Roman" w:hAnsi="Times New Roman" w:eastAsia="宋体" w:cs="Times New Roman"/>
                <w:color w:val="auto"/>
                <w:kern w:val="0"/>
                <w:sz w:val="21"/>
                <w:szCs w:val="21"/>
              </w:rPr>
              <w:t>等；</w:t>
            </w:r>
          </w:p>
          <w:p>
            <w:pP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废碱，</w:t>
            </w:r>
            <w:r>
              <w:rPr>
                <w:rFonts w:ascii="Times New Roman" w:hAnsi="Times New Roman" w:eastAsia="宋体" w:cs="Times New Roman"/>
                <w:color w:val="auto"/>
                <w:kern w:val="0"/>
                <w:sz w:val="21"/>
                <w:szCs w:val="21"/>
              </w:rPr>
              <w:t>x光显影废液、血液检查废液、废血液(不凝固)</w:t>
            </w:r>
            <w:r>
              <w:rPr>
                <w:rFonts w:hint="eastAsia" w:ascii="Times New Roman" w:hAnsi="Times New Roman" w:eastAsia="宋体" w:cs="Times New Roman"/>
                <w:color w:val="auto"/>
                <w:kern w:val="0"/>
                <w:sz w:val="21"/>
                <w:szCs w:val="21"/>
              </w:rPr>
              <w:t>、其他碱性废液</w:t>
            </w:r>
            <w:r>
              <w:rPr>
                <w:rFonts w:ascii="Times New Roman" w:hAnsi="Times New Roman" w:eastAsia="宋体" w:cs="Times New Roman"/>
                <w:color w:val="auto"/>
                <w:kern w:val="0"/>
                <w:sz w:val="21"/>
                <w:szCs w:val="21"/>
              </w:rPr>
              <w:t>等；</w:t>
            </w:r>
          </w:p>
          <w:p>
            <w:pP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废塑料：</w:t>
            </w:r>
            <w:r>
              <w:rPr>
                <w:rFonts w:ascii="Times New Roman" w:hAnsi="Times New Roman" w:eastAsia="宋体" w:cs="Times New Roman"/>
                <w:color w:val="auto"/>
                <w:kern w:val="0"/>
                <w:sz w:val="21"/>
                <w:szCs w:val="21"/>
              </w:rPr>
              <w:t>塑料器具，x光片，管子等；</w:t>
            </w:r>
          </w:p>
          <w:p>
            <w:pP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橡胶废料：</w:t>
            </w:r>
            <w:r>
              <w:rPr>
                <w:rFonts w:ascii="Times New Roman" w:hAnsi="Times New Roman" w:eastAsia="宋体" w:cs="Times New Roman"/>
                <w:color w:val="auto"/>
                <w:kern w:val="0"/>
                <w:sz w:val="21"/>
                <w:szCs w:val="21"/>
              </w:rPr>
              <w:t>天然橡胶制成的器具，手套等；</w:t>
            </w:r>
          </w:p>
          <w:p>
            <w:pP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金属：金属材料器具、针头、金属床等</w:t>
            </w:r>
          </w:p>
          <w:p>
            <w:pP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玻璃渣：</w:t>
            </w:r>
            <w:r>
              <w:rPr>
                <w:rFonts w:ascii="Times New Roman" w:hAnsi="Times New Roman" w:eastAsia="宋体" w:cs="Times New Roman"/>
                <w:color w:val="auto"/>
                <w:kern w:val="0"/>
                <w:sz w:val="21"/>
                <w:szCs w:val="21"/>
              </w:rPr>
              <w:t>安瓶、玻璃器具、瓶子等</w:t>
            </w:r>
          </w:p>
          <w:p>
            <w:pPr>
              <w:rPr>
                <w:rFonts w:ascii="Times New Roman" w:hAnsi="Times New Roman" w:eastAsia="宋体" w:cs="Times New Roman"/>
                <w:color w:val="auto"/>
                <w:kern w:val="0"/>
                <w:sz w:val="20"/>
                <w:szCs w:val="21"/>
              </w:rPr>
            </w:pPr>
            <w:r>
              <w:rPr>
                <w:rFonts w:hint="eastAsia" w:ascii="Times New Roman" w:hAnsi="Times New Roman" w:eastAsia="宋体" w:cs="Times New Roman"/>
                <w:color w:val="auto"/>
                <w:kern w:val="0"/>
                <w:sz w:val="21"/>
                <w:szCs w:val="21"/>
              </w:rPr>
              <w:t>其他如混凝土废料、陶瓷废料等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2" w:type="dxa"/>
            <w:vAlign w:val="center"/>
          </w:tcPr>
          <w:p>
            <w:pPr>
              <w:rPr>
                <w:rFonts w:ascii="Times New Roman" w:hAnsi="Times New Roman" w:eastAsia="宋体" w:cs="Times New Roman"/>
                <w:b/>
                <w:color w:val="auto"/>
                <w:kern w:val="0"/>
                <w:sz w:val="21"/>
                <w:szCs w:val="21"/>
              </w:rPr>
            </w:pPr>
            <w:r>
              <w:rPr>
                <w:rFonts w:hint="eastAsia" w:ascii="Times New Roman" w:hAnsi="Times New Roman" w:eastAsia="宋体" w:cs="Times New Roman"/>
                <w:b/>
                <w:color w:val="auto"/>
                <w:kern w:val="0"/>
                <w:sz w:val="21"/>
                <w:szCs w:val="21"/>
              </w:rPr>
              <w:t>感染性一般废弃物</w:t>
            </w:r>
          </w:p>
        </w:tc>
        <w:tc>
          <w:tcPr>
            <w:tcW w:w="6174" w:type="dxa"/>
            <w:vAlign w:val="center"/>
          </w:tcPr>
          <w:p>
            <w:pP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废纸、垃圾、纤维</w:t>
            </w:r>
            <w:r>
              <w:rPr>
                <w:rFonts w:ascii="Times New Roman" w:hAnsi="Times New Roman" w:eastAsia="宋体" w:cs="Times New Roman"/>
                <w:color w:val="auto"/>
                <w:kern w:val="0"/>
                <w:sz w:val="21"/>
                <w:szCs w:val="21"/>
              </w:rPr>
              <w:t>(绷带、纱布、脱脂棉、亚麻类)、木屑、皮革类、实验动物尸体等</w:t>
            </w:r>
          </w:p>
        </w:tc>
      </w:tr>
    </w:tbl>
    <w:p>
      <w:pPr>
        <w:spacing w:line="336" w:lineRule="auto"/>
        <w:rPr>
          <w:rFonts w:ascii="Times New Roman" w:hAnsi="Times New Roman" w:eastAsia="宋体" w:cs="Times New Roman"/>
          <w:color w:val="auto"/>
          <w:kern w:val="0"/>
          <w:szCs w:val="21"/>
        </w:rPr>
      </w:pPr>
      <w:r>
        <w:rPr>
          <w:rFonts w:ascii="Times New Roman" w:hAnsi="Times New Roman" w:eastAsia="宋体" w:cs="Times New Roman"/>
          <w:color w:val="auto"/>
          <w:kern w:val="0"/>
          <w:szCs w:val="21"/>
        </w:rPr>
        <w:t xml:space="preserve">    </w:t>
      </w:r>
    </w:p>
    <w:p>
      <w:pPr>
        <w:pStyle w:val="32"/>
        <w:ind w:firstLine="0" w:firstLineChars="0"/>
        <w:rPr>
          <w:color w:val="auto"/>
        </w:rPr>
      </w:pPr>
      <w:r>
        <w:rPr>
          <w:rFonts w:hint="eastAsia"/>
          <w:color w:val="auto"/>
        </w:rPr>
        <w:t>（</w:t>
      </w:r>
      <w:r>
        <w:rPr>
          <w:color w:val="auto"/>
        </w:rPr>
        <w:t>3</w:t>
      </w:r>
      <w:r>
        <w:rPr>
          <w:rFonts w:hint="eastAsia"/>
          <w:color w:val="auto"/>
        </w:rPr>
        <w:t>）</w:t>
      </w:r>
      <w:r>
        <w:rPr>
          <w:color w:val="auto"/>
        </w:rPr>
        <w:t>美国</w:t>
      </w:r>
      <w:r>
        <w:rPr>
          <w:rFonts w:hint="eastAsia"/>
          <w:color w:val="auto"/>
        </w:rPr>
        <w:t>医疗废物管理体系</w:t>
      </w:r>
    </w:p>
    <w:p>
      <w:pPr>
        <w:pStyle w:val="32"/>
        <w:ind w:firstLine="480"/>
        <w:rPr>
          <w:color w:val="auto"/>
        </w:rPr>
      </w:pPr>
      <w:r>
        <w:rPr>
          <w:rFonts w:hint="eastAsia"/>
          <w:color w:val="auto"/>
        </w:rPr>
        <w:t>根据美国环境保护署（</w:t>
      </w:r>
      <w:r>
        <w:rPr>
          <w:color w:val="auto"/>
        </w:rPr>
        <w:t>United States Environmental Agency</w:t>
      </w:r>
      <w:r>
        <w:rPr>
          <w:rFonts w:hint="eastAsia"/>
          <w:color w:val="auto"/>
        </w:rPr>
        <w:t>，以下简称“美国</w:t>
      </w:r>
      <w:r>
        <w:rPr>
          <w:color w:val="auto"/>
        </w:rPr>
        <w:t>EPA</w:t>
      </w:r>
      <w:r>
        <w:rPr>
          <w:rFonts w:hint="eastAsia"/>
          <w:color w:val="auto"/>
        </w:rPr>
        <w:t>”）发布的资料显示，医疗废物的定义如下：“医疗废物是医院、医生办公室、牙科诊所、血库、兽医医院</w:t>
      </w:r>
      <w:r>
        <w:rPr>
          <w:color w:val="auto"/>
        </w:rPr>
        <w:t>/</w:t>
      </w:r>
      <w:r>
        <w:rPr>
          <w:rFonts w:hint="eastAsia"/>
          <w:color w:val="auto"/>
        </w:rPr>
        <w:t>诊所以及医疗研究设施和实验室等卫生保健设施产生的废物的集合。一般来说，医疗废物是可能被血液、体液或其他潜在传染性物质污染的废物，通常被称为受管制的医疗废物。”</w:t>
      </w:r>
      <w:r>
        <w:rPr>
          <w:color w:val="auto"/>
        </w:rPr>
        <w:t xml:space="preserve"> </w:t>
      </w:r>
    </w:p>
    <w:p>
      <w:pPr>
        <w:pStyle w:val="32"/>
        <w:ind w:firstLine="480"/>
        <w:rPr>
          <w:color w:val="auto"/>
        </w:rPr>
      </w:pPr>
      <w:r>
        <w:rPr>
          <w:rFonts w:hint="eastAsia"/>
          <w:color w:val="auto"/>
        </w:rPr>
        <w:t>美国的医疗废物主要由州环境署和卫生部门管理。美国国会于</w:t>
      </w:r>
      <w:r>
        <w:rPr>
          <w:color w:val="auto"/>
        </w:rPr>
        <w:t>1988年颁布了Medical Waste Tracking Act (MWTA)，即《医疗废物追踪法》。MWTA是一项为期两年的联邦方案，要求环境保护局颁布医疗废物管理条例，于1991年到期。此后，各州基本上根据两年方案制定的指导方针承担起管理医疗废物的</w:t>
      </w:r>
      <w:r>
        <w:rPr>
          <w:rFonts w:hint="eastAsia"/>
          <w:color w:val="auto"/>
        </w:rPr>
        <w:t>职能</w:t>
      </w:r>
      <w:r>
        <w:rPr>
          <w:color w:val="auto"/>
        </w:rPr>
        <w:t>。医疗废物管理相关的法律法规主要来源于州环境保护机构和州卫生机构，其他联邦机构如疾病控制中心（CDC）、职业安全与健康管理局（OSHA）、美国食品和药物管理局（FDA）等也有关于医疗废物的规定。各州之间针对医疗废物管理的规划具有一定差异性。Model Guidelines for State Medical Waste Management，即《医疗废物管理示范准则》，由州政府委员会制定，目的是作为医疗废物管理各方面的参考，非强制性。</w:t>
      </w:r>
    </w:p>
    <w:p>
      <w:pPr>
        <w:pStyle w:val="32"/>
        <w:ind w:firstLine="480"/>
        <w:rPr>
          <w:color w:val="auto"/>
        </w:rPr>
      </w:pPr>
      <w:r>
        <w:rPr>
          <w:color w:val="auto"/>
        </w:rPr>
        <w:t>2003</w:t>
      </w:r>
      <w:r>
        <w:rPr>
          <w:rFonts w:hint="eastAsia"/>
          <w:color w:val="auto"/>
        </w:rPr>
        <w:t>年公布的《医疗卫生机构环境污染控制指南》中将医疗废物分为两大类，感染性医疗废物和管制性医疗废物。其中感染性医疗废物主要包括微生物实验室废物、病理和解剖废物、来自于门诊和实验室的血液及体液标本、已污染的一次性医疗用品；管制性医疗废物主要包括医用锐器、针头等具有特殊危害性的废物。针对医疗废物的处理处置，医用锐器</w:t>
      </w:r>
      <w:r>
        <w:rPr>
          <w:color w:val="auto"/>
        </w:rPr>
        <w:t>/针头因其特殊危害性</w:t>
      </w:r>
      <w:r>
        <w:rPr>
          <w:rFonts w:hint="eastAsia"/>
          <w:color w:val="auto"/>
        </w:rPr>
        <w:t>而</w:t>
      </w:r>
      <w:r>
        <w:rPr>
          <w:color w:val="auto"/>
        </w:rPr>
        <w:t>受到特别关注，有较多相关的规范性参考，如《Community Options for Safe Needle Disposal》（October 2004</w:t>
      </w:r>
      <w:r>
        <w:rPr>
          <w:rFonts w:hint="eastAsia"/>
          <w:color w:val="auto"/>
        </w:rPr>
        <w:t>，</w:t>
      </w:r>
      <w:r>
        <w:rPr>
          <w:color w:val="auto"/>
        </w:rPr>
        <w:t>EPA530-K-04-001）中建议各州和地方政府可以为公民提供安全处理针头的选择，各州针对医用锐器/针头有其具体的处置规则和规定。除医用锐器/针头以外的其他医疗废物</w:t>
      </w:r>
      <w:r>
        <w:rPr>
          <w:rFonts w:hint="eastAsia"/>
          <w:color w:val="auto"/>
        </w:rPr>
        <w:t>作为大类进行处理处置，</w:t>
      </w:r>
      <w:r>
        <w:rPr>
          <w:color w:val="auto"/>
        </w:rPr>
        <w:t>1997年之前，有90</w:t>
      </w:r>
      <w:r>
        <w:rPr>
          <w:rFonts w:hint="eastAsia"/>
          <w:color w:val="auto"/>
        </w:rPr>
        <w:t>%</w:t>
      </w:r>
      <w:r>
        <w:rPr>
          <w:color w:val="auto"/>
        </w:rPr>
        <w:t>以上的潜在传染性医疗废物被焚化。1997年8月，由于对影响人体健康的有害空气质量的严重关注，EPA颁布法规为医疗废物焚化炉制定了严格的排放标准</w:t>
      </w:r>
      <w:r>
        <w:rPr>
          <w:rFonts w:hint="eastAsia"/>
          <w:color w:val="auto"/>
        </w:rPr>
        <w:t>，同时</w:t>
      </w:r>
      <w:r>
        <w:rPr>
          <w:color w:val="auto"/>
        </w:rPr>
        <w:t>EPA空气质量计划和标准办公室</w:t>
      </w:r>
      <w:r>
        <w:rPr>
          <w:rFonts w:hint="eastAsia"/>
          <w:color w:val="auto"/>
        </w:rPr>
        <w:t>对</w:t>
      </w:r>
      <w:r>
        <w:rPr>
          <w:color w:val="auto"/>
        </w:rPr>
        <w:t>医院医疗传染性废物焚化炉（Hospital, Medical, and Infectious Waste Incinerators</w:t>
      </w:r>
      <w:r>
        <w:rPr>
          <w:rFonts w:hint="eastAsia"/>
          <w:color w:val="auto"/>
        </w:rPr>
        <w:t>，以下简称“</w:t>
      </w:r>
      <w:r>
        <w:rPr>
          <w:color w:val="auto"/>
        </w:rPr>
        <w:t>HMIWI</w:t>
      </w:r>
      <w:r>
        <w:rPr>
          <w:rFonts w:hint="eastAsia"/>
          <w:color w:val="auto"/>
        </w:rPr>
        <w:t>”</w:t>
      </w:r>
      <w:r>
        <w:rPr>
          <w:color w:val="auto"/>
        </w:rPr>
        <w:t>）标准</w:t>
      </w:r>
      <w:r>
        <w:rPr>
          <w:rFonts w:hint="eastAsia"/>
          <w:color w:val="auto"/>
        </w:rPr>
        <w:t>进行持续性</w:t>
      </w:r>
      <w:r>
        <w:rPr>
          <w:color w:val="auto"/>
        </w:rPr>
        <w:t>审查和修订。</w:t>
      </w:r>
      <w:r>
        <w:rPr>
          <w:rFonts w:hint="eastAsia"/>
          <w:color w:val="auto"/>
        </w:rPr>
        <w:t>该标准的收紧导致美国医废焚化炉的数量有所下降和使用</w:t>
      </w:r>
      <w:r>
        <w:rPr>
          <w:color w:val="auto"/>
        </w:rPr>
        <w:t>替代技术来处理医疗废物的情况有所增加。通常使用替代性处理技术消除医疗废物的感染性，然后将废物作为固体废物处置在垃圾填埋场或焚化炉中。许多州都有法规要求对医疗废物处理技术进行认证</w:t>
      </w:r>
      <w:r>
        <w:rPr>
          <w:rFonts w:hint="eastAsia"/>
          <w:color w:val="auto"/>
        </w:rPr>
        <w:t>、</w:t>
      </w:r>
      <w:r>
        <w:rPr>
          <w:color w:val="auto"/>
        </w:rPr>
        <w:t>许可或监管。</w:t>
      </w:r>
      <w:r>
        <w:rPr>
          <w:rFonts w:hint="eastAsia"/>
          <w:color w:val="auto"/>
        </w:rPr>
        <w:t>除此之外，</w:t>
      </w:r>
      <w:r>
        <w:rPr>
          <w:color w:val="auto"/>
        </w:rPr>
        <w:t>EPA</w:t>
      </w:r>
      <w:r>
        <w:rPr>
          <w:rFonts w:hint="eastAsia"/>
          <w:color w:val="auto"/>
        </w:rPr>
        <w:t>于</w:t>
      </w:r>
      <w:r>
        <w:rPr>
          <w:color w:val="auto"/>
        </w:rPr>
        <w:t>2018</w:t>
      </w:r>
      <w:r>
        <w:rPr>
          <w:rFonts w:hint="eastAsia"/>
          <w:color w:val="auto"/>
        </w:rPr>
        <w:t>年底签署了《危险废物药品管理标准及尼古丁</w:t>
      </w:r>
      <w:r>
        <w:rPr>
          <w:color w:val="auto"/>
        </w:rPr>
        <w:t>P075</w:t>
      </w:r>
      <w:r>
        <w:rPr>
          <w:rFonts w:hint="eastAsia"/>
          <w:color w:val="auto"/>
        </w:rPr>
        <w:t>清单修订》的最终规定，为处理危险废物药品制定新的管理标准；美国国家安全委员于</w:t>
      </w:r>
      <w:r>
        <w:rPr>
          <w:color w:val="auto"/>
        </w:rPr>
        <w:t>2019</w:t>
      </w:r>
      <w:r>
        <w:rPr>
          <w:rFonts w:hint="eastAsia"/>
          <w:color w:val="auto"/>
        </w:rPr>
        <w:t>年</w:t>
      </w:r>
      <w:r>
        <w:rPr>
          <w:color w:val="auto"/>
        </w:rPr>
        <w:t>8</w:t>
      </w:r>
      <w:r>
        <w:rPr>
          <w:rFonts w:hint="eastAsia"/>
          <w:color w:val="auto"/>
        </w:rPr>
        <w:t>月颁布针对感染性废物的《对于含有</w:t>
      </w:r>
      <w:r>
        <w:rPr>
          <w:color w:val="auto"/>
        </w:rPr>
        <w:t>A类传染性物质的废物管理</w:t>
      </w:r>
      <w:r>
        <w:rPr>
          <w:rFonts w:hint="eastAsia"/>
          <w:color w:val="auto"/>
        </w:rPr>
        <w:t>》</w:t>
      </w:r>
      <w:r>
        <w:rPr>
          <w:color w:val="auto"/>
        </w:rPr>
        <w:t>（Managing Solid Waste Contaminated with a Category A Infectious Substance</w:t>
      </w:r>
      <w:r>
        <w:rPr>
          <w:rFonts w:hint="eastAsia"/>
          <w:color w:val="auto"/>
        </w:rPr>
        <w:t>）</w:t>
      </w:r>
      <w:r>
        <w:rPr>
          <w:color w:val="auto"/>
        </w:rPr>
        <w:t>，用于指导各部门就医疗废弃物的收集、运输、处置各环节制定方案</w:t>
      </w:r>
      <w:r>
        <w:rPr>
          <w:rFonts w:hint="eastAsia"/>
          <w:color w:val="auto"/>
        </w:rPr>
        <w:t>等。</w:t>
      </w:r>
    </w:p>
    <w:p>
      <w:pPr>
        <w:pStyle w:val="32"/>
        <w:ind w:firstLine="0" w:firstLineChars="0"/>
        <w:rPr>
          <w:color w:val="auto"/>
        </w:rPr>
      </w:pPr>
      <w:r>
        <w:rPr>
          <w:rFonts w:hint="eastAsia"/>
          <w:color w:val="auto"/>
        </w:rPr>
        <w:t>（</w:t>
      </w:r>
      <w:r>
        <w:rPr>
          <w:color w:val="auto"/>
        </w:rPr>
        <w:t>4</w:t>
      </w:r>
      <w:r>
        <w:rPr>
          <w:rFonts w:hint="eastAsia"/>
          <w:color w:val="auto"/>
        </w:rPr>
        <w:t>）</w:t>
      </w:r>
      <w:r>
        <w:rPr>
          <w:color w:val="auto"/>
        </w:rPr>
        <w:t>英国</w:t>
      </w:r>
      <w:r>
        <w:rPr>
          <w:rFonts w:hint="eastAsia"/>
          <w:color w:val="auto"/>
        </w:rPr>
        <w:t>医疗废物管理体系</w:t>
      </w:r>
    </w:p>
    <w:p>
      <w:pPr>
        <w:pStyle w:val="32"/>
        <w:ind w:firstLine="480"/>
        <w:rPr>
          <w:color w:val="auto"/>
        </w:rPr>
      </w:pPr>
      <w:r>
        <w:rPr>
          <w:color w:val="auto"/>
        </w:rPr>
        <w:t>由于英国体制特殊，医疗废物的具体收集、转运、处置的要求在英格兰、苏格兰、威尔士和北爱尔兰都各有不同。</w:t>
      </w:r>
    </w:p>
    <w:p>
      <w:pPr>
        <w:pStyle w:val="32"/>
        <w:ind w:firstLine="480"/>
        <w:rPr>
          <w:color w:val="auto"/>
        </w:rPr>
      </w:pPr>
      <w:r>
        <w:rPr>
          <w:color w:val="auto"/>
        </w:rPr>
        <w:t>英国医疗废物处置相关的核心法规是于1990年颁布的《环境保护法》，其中明确了废物管理的相关义务，在此基础上英国政府陆续颁布了《危险废物条例》（2005年修订版）、《废物管控条例》（2012年版）、《法定审慎责任规定》等法规，建立了覆盖医疗废物产生到处置全过程的法律体系。</w:t>
      </w:r>
    </w:p>
    <w:p>
      <w:pPr>
        <w:pStyle w:val="32"/>
        <w:ind w:firstLine="480"/>
        <w:rPr>
          <w:color w:val="auto"/>
        </w:rPr>
      </w:pPr>
      <w:r>
        <w:rPr>
          <w:color w:val="auto"/>
        </w:rPr>
        <w:t>2013年3月，英国卫生和社会保障部，英国环境、粮食和农村事务部，英国运输部以及相关监管机构共同发布了《环境与可持续健康技术备忘录07-01：医疗废物的安全管理》，详细明确了英国废物管理的各个环节，包括废物的分类定义、评估流程、医疗废物存储、转运措施、处理处置标准和技术体系、废物管理许可等相关措施，是医疗废物管理与处置的系统性指南。</w:t>
      </w:r>
    </w:p>
    <w:p>
      <w:pPr>
        <w:pStyle w:val="32"/>
        <w:ind w:firstLine="0" w:firstLineChars="0"/>
        <w:rPr>
          <w:color w:val="auto"/>
        </w:rPr>
      </w:pPr>
      <w:r>
        <w:rPr>
          <w:rFonts w:hint="eastAsia"/>
          <w:color w:val="auto"/>
        </w:rPr>
        <w:t>（</w:t>
      </w:r>
      <w:r>
        <w:rPr>
          <w:color w:val="auto"/>
        </w:rPr>
        <w:t>5</w:t>
      </w:r>
      <w:r>
        <w:rPr>
          <w:rFonts w:hint="eastAsia"/>
          <w:color w:val="auto"/>
        </w:rPr>
        <w:t>）</w:t>
      </w:r>
      <w:r>
        <w:rPr>
          <w:color w:val="auto"/>
        </w:rPr>
        <w:t>德国</w:t>
      </w:r>
      <w:r>
        <w:rPr>
          <w:rFonts w:hint="eastAsia"/>
          <w:color w:val="auto"/>
        </w:rPr>
        <w:t>医疗废物管理体系</w:t>
      </w:r>
    </w:p>
    <w:p>
      <w:pPr>
        <w:pStyle w:val="32"/>
        <w:ind w:firstLine="480"/>
        <w:rPr>
          <w:color w:val="auto"/>
        </w:rPr>
      </w:pPr>
      <w:r>
        <w:rPr>
          <w:color w:val="auto"/>
        </w:rPr>
        <w:t>德国作为联邦国家，具体的医废处置管理工作交由州政府落实完成，但其政策框架又体现出欧盟国家的特点，《欧洲废弃物框架指令》</w:t>
      </w:r>
      <w:r>
        <w:rPr>
          <w:rFonts w:hint="eastAsia"/>
          <w:color w:val="auto"/>
        </w:rPr>
        <w:t>、</w:t>
      </w:r>
      <w:r>
        <w:rPr>
          <w:color w:val="auto"/>
        </w:rPr>
        <w:t>《欧洲废弃物填埋指令》等欧盟文件是德国制定国家性法规的基础。</w:t>
      </w:r>
    </w:p>
    <w:p>
      <w:pPr>
        <w:pStyle w:val="32"/>
        <w:ind w:firstLine="480"/>
        <w:rPr>
          <w:color w:val="auto"/>
        </w:rPr>
      </w:pPr>
      <w:r>
        <w:rPr>
          <w:color w:val="auto"/>
        </w:rPr>
        <w:t>德国目前在废弃物处置领域的核心法规是《循环经济法》，其中对医疗废物的管理及处置作出全面规定，同时医废处置需遵循德国《传染病预防和控制法》、《职业健康与安全法》等法规中的相关规定。德国联邦政府在管理方面具有优先权，仅在联邦法律尚未涵盖的领域，各州才能制定补充法规。</w:t>
      </w:r>
    </w:p>
    <w:p>
      <w:pPr>
        <w:pStyle w:val="32"/>
        <w:ind w:firstLine="480"/>
        <w:rPr>
          <w:color w:val="auto"/>
        </w:rPr>
      </w:pPr>
      <w:r>
        <w:rPr>
          <w:color w:val="auto"/>
        </w:rPr>
        <w:t>德国联邦废物处置委员会（LAGA）于2015年1月发布的《医疗机构处置废物的执法协助》，作为联邦各州在医疗废物的管理及处置中的指南，该文件系统介绍了医疗废物的管理及处置中需遵循的规定及要求，并整理了不同类型医疗废弃物的处置手段和注意事项等重要信息；卫生部门为医疗废弃物的处置提供健康与安全方面的指导意见；德国联邦卫生部（BMG）下设罗伯特·科赫研究所（RKI）作为疾病监测和预防领域的研究机构，其核心任务是对具有高危险性、高传播度的疾病开展流行病学和医学分析等科学研究以及风险评估工作，并为联邦卫生部和联邦政府各部门提供咨询服务，参与制定重大疾病应对法规以及相关医疗废物处置工艺规范。</w:t>
      </w:r>
    </w:p>
    <w:p>
      <w:pPr>
        <w:pStyle w:val="32"/>
        <w:ind w:firstLine="0" w:firstLineChars="0"/>
        <w:rPr>
          <w:color w:val="auto"/>
        </w:rPr>
      </w:pPr>
      <w:r>
        <w:rPr>
          <w:rFonts w:hint="eastAsia"/>
          <w:color w:val="auto"/>
        </w:rPr>
        <w:t>（</w:t>
      </w:r>
      <w:r>
        <w:rPr>
          <w:color w:val="auto"/>
        </w:rPr>
        <w:t>6</w:t>
      </w:r>
      <w:r>
        <w:rPr>
          <w:rFonts w:hint="eastAsia"/>
          <w:color w:val="auto"/>
        </w:rPr>
        <w:t>）</w:t>
      </w:r>
      <w:r>
        <w:rPr>
          <w:color w:val="auto"/>
        </w:rPr>
        <w:t>韩国</w:t>
      </w:r>
      <w:r>
        <w:rPr>
          <w:rFonts w:hint="eastAsia"/>
          <w:color w:val="auto"/>
        </w:rPr>
        <w:t>医疗废物管理体系</w:t>
      </w:r>
    </w:p>
    <w:p>
      <w:pPr>
        <w:pStyle w:val="32"/>
        <w:ind w:firstLine="480"/>
        <w:rPr>
          <w:color w:val="auto"/>
        </w:rPr>
      </w:pPr>
      <w:r>
        <w:rPr>
          <w:color w:val="auto"/>
        </w:rPr>
        <w:t>1986</w:t>
      </w:r>
      <w:r>
        <w:rPr>
          <w:rFonts w:hint="eastAsia"/>
          <w:color w:val="auto"/>
        </w:rPr>
        <w:t>年出台的综合性法规《废弃物管理法》是韩国废弃物污染防治的基本法，</w:t>
      </w:r>
      <w:r>
        <w:rPr>
          <w:color w:val="auto"/>
        </w:rPr>
        <w:t>1999</w:t>
      </w:r>
      <w:r>
        <w:rPr>
          <w:rFonts w:hint="eastAsia"/>
          <w:color w:val="auto"/>
        </w:rPr>
        <w:t>年修订版明确医疗废物属于可能对周围环境造成污染或能在公共场所对人体造成伤害的“制定废物”，并据此指出，医疗废物应受该法令下危险废弃物条例的约束。</w:t>
      </w:r>
      <w:r>
        <w:rPr>
          <w:color w:val="auto"/>
        </w:rPr>
        <w:t>2019</w:t>
      </w:r>
      <w:r>
        <w:rPr>
          <w:rFonts w:hint="eastAsia"/>
          <w:color w:val="auto"/>
        </w:rPr>
        <w:t>年</w:t>
      </w:r>
      <w:r>
        <w:rPr>
          <w:color w:val="auto"/>
        </w:rPr>
        <w:t>12</w:t>
      </w:r>
      <w:r>
        <w:rPr>
          <w:rFonts w:hint="eastAsia"/>
          <w:color w:val="auto"/>
        </w:rPr>
        <w:t>月，韩国修订发布了《医疗废物分类管理指南》，系统阐述了医疗废物定义、分类与管理、处理计划审批流程以及医疗废物处置。</w:t>
      </w:r>
    </w:p>
    <w:p>
      <w:pPr>
        <w:pStyle w:val="32"/>
        <w:ind w:firstLine="480"/>
        <w:rPr>
          <w:color w:val="auto"/>
        </w:rPr>
      </w:pPr>
      <w:r>
        <w:rPr>
          <w:rFonts w:hint="eastAsia"/>
          <w:color w:val="auto"/>
        </w:rPr>
        <w:t>根据韩国《废弃物管理法》，医疗废物是指由保健、医疗机构、动物医院、实验、检查机构等组织排放的废物中具有人体感染等危害的废物，以及人体组织等提取物、实验动物的尸体等在保健、环境保护角度需要特别管理的废物。根据韩国废物分类体系，医疗废物属于指定废物，包括隔离性医疗废物、危害性医疗废物、普通医疗废物三大类。如若非医疗废物于医疗废物混合或接触时，则按医疗废物处理；用于采血的采血器及容器等则按组织性废物处理。</w:t>
      </w:r>
    </w:p>
    <w:p>
      <w:pPr>
        <w:pStyle w:val="23"/>
        <w:numPr>
          <w:ilvl w:val="0"/>
          <w:numId w:val="14"/>
        </w:numPr>
        <w:spacing w:line="336" w:lineRule="auto"/>
        <w:ind w:firstLineChars="0"/>
        <w:jc w:val="center"/>
        <w:rPr>
          <w:rFonts w:ascii="Times New Roman" w:hAnsi="Times New Roman" w:eastAsia="宋体" w:cs="Times New Roman"/>
          <w:b/>
          <w:color w:val="auto"/>
          <w:kern w:val="0"/>
          <w:szCs w:val="21"/>
        </w:rPr>
      </w:pPr>
      <w:r>
        <w:rPr>
          <w:rFonts w:hint="eastAsia" w:ascii="Times New Roman" w:hAnsi="Times New Roman" w:eastAsia="宋体" w:cs="Times New Roman"/>
          <w:b/>
          <w:color w:val="auto"/>
          <w:kern w:val="0"/>
          <w:szCs w:val="21"/>
        </w:rPr>
        <w:t>韩国医疗废物种类及组成</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96"/>
        <w:gridCol w:w="66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vAlign w:val="center"/>
          </w:tcPr>
          <w:p>
            <w:pPr>
              <w:rPr>
                <w:rFonts w:ascii="Times New Roman" w:hAnsi="Times New Roman" w:eastAsia="宋体" w:cs="Times New Roman"/>
                <w:b/>
                <w:color w:val="auto"/>
                <w:kern w:val="0"/>
                <w:sz w:val="21"/>
                <w:szCs w:val="21"/>
              </w:rPr>
            </w:pPr>
            <w:r>
              <w:rPr>
                <w:rFonts w:hint="eastAsia" w:ascii="Times New Roman" w:hAnsi="Times New Roman" w:eastAsia="宋体" w:cs="Times New Roman"/>
                <w:b/>
                <w:color w:val="auto"/>
                <w:kern w:val="0"/>
                <w:sz w:val="21"/>
                <w:szCs w:val="21"/>
              </w:rPr>
              <w:t>医疗废物分类</w:t>
            </w:r>
          </w:p>
        </w:tc>
        <w:tc>
          <w:tcPr>
            <w:tcW w:w="6600" w:type="dxa"/>
            <w:vAlign w:val="center"/>
          </w:tcPr>
          <w:p>
            <w:pPr>
              <w:jc w:val="center"/>
              <w:rPr>
                <w:rFonts w:ascii="Times New Roman" w:hAnsi="Times New Roman" w:eastAsia="宋体" w:cs="Times New Roman"/>
                <w:b/>
                <w:color w:val="auto"/>
                <w:kern w:val="0"/>
                <w:sz w:val="21"/>
                <w:szCs w:val="21"/>
              </w:rPr>
            </w:pPr>
            <w:r>
              <w:rPr>
                <w:rFonts w:hint="eastAsia" w:ascii="Times New Roman" w:hAnsi="Times New Roman" w:eastAsia="宋体" w:cs="Times New Roman"/>
                <w:b/>
                <w:color w:val="auto"/>
                <w:kern w:val="0"/>
                <w:sz w:val="21"/>
                <w:szCs w:val="21"/>
              </w:rPr>
              <w:t>组成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vAlign w:val="center"/>
          </w:tcPr>
          <w:p>
            <w:pPr>
              <w:rPr>
                <w:rFonts w:ascii="Times New Roman" w:hAnsi="Times New Roman" w:eastAsia="宋体" w:cs="Times New Roman"/>
                <w:b/>
                <w:color w:val="auto"/>
                <w:kern w:val="0"/>
                <w:sz w:val="21"/>
                <w:szCs w:val="21"/>
              </w:rPr>
            </w:pPr>
            <w:r>
              <w:rPr>
                <w:rFonts w:hint="eastAsia" w:ascii="Times New Roman" w:hAnsi="Times New Roman" w:eastAsia="宋体" w:cs="Times New Roman"/>
                <w:b/>
                <w:color w:val="auto"/>
                <w:kern w:val="0"/>
                <w:sz w:val="21"/>
                <w:szCs w:val="21"/>
              </w:rPr>
              <w:t>隔离性医疗废物</w:t>
            </w:r>
          </w:p>
        </w:tc>
        <w:tc>
          <w:tcPr>
            <w:tcW w:w="6600" w:type="dxa"/>
            <w:vAlign w:val="center"/>
          </w:tcPr>
          <w:p>
            <w:pP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为防止《感染病的预防及管理相关法律》第</w:t>
            </w:r>
            <w:r>
              <w:rPr>
                <w:rFonts w:ascii="Times New Roman" w:hAnsi="Times New Roman" w:eastAsia="宋体" w:cs="Times New Roman"/>
                <w:color w:val="auto"/>
                <w:kern w:val="0"/>
                <w:sz w:val="21"/>
                <w:szCs w:val="21"/>
              </w:rPr>
              <w:t>2</w:t>
            </w:r>
            <w:r>
              <w:rPr>
                <w:rFonts w:hint="eastAsia" w:ascii="Times New Roman" w:hAnsi="Times New Roman" w:eastAsia="宋体" w:cs="Times New Roman"/>
                <w:color w:val="auto"/>
                <w:kern w:val="0"/>
                <w:sz w:val="21"/>
                <w:szCs w:val="21"/>
              </w:rPr>
              <w:t>条第</w:t>
            </w:r>
            <w:r>
              <w:rPr>
                <w:rFonts w:ascii="Times New Roman" w:hAnsi="Times New Roman" w:eastAsia="宋体" w:cs="Times New Roman"/>
                <w:color w:val="auto"/>
                <w:kern w:val="0"/>
                <w:sz w:val="21"/>
                <w:szCs w:val="21"/>
              </w:rPr>
              <w:t>1</w:t>
            </w:r>
            <w:r>
              <w:rPr>
                <w:rFonts w:hint="eastAsia" w:ascii="Times New Roman" w:hAnsi="Times New Roman" w:eastAsia="宋体" w:cs="Times New Roman"/>
                <w:color w:val="auto"/>
                <w:kern w:val="0"/>
                <w:sz w:val="21"/>
                <w:szCs w:val="21"/>
              </w:rPr>
              <w:t>号规定的感染病涉及他人，对隔离疑似感染者诊疗过程中产生的一切废物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vAlign w:val="center"/>
          </w:tcPr>
          <w:p>
            <w:pPr>
              <w:rPr>
                <w:rFonts w:ascii="Times New Roman" w:hAnsi="Times New Roman" w:eastAsia="宋体" w:cs="Times New Roman"/>
                <w:b/>
                <w:color w:val="auto"/>
                <w:kern w:val="0"/>
                <w:sz w:val="21"/>
                <w:szCs w:val="21"/>
              </w:rPr>
            </w:pPr>
            <w:r>
              <w:rPr>
                <w:rFonts w:hint="eastAsia" w:ascii="Times New Roman" w:hAnsi="Times New Roman" w:eastAsia="宋体" w:cs="Times New Roman"/>
                <w:b/>
                <w:color w:val="auto"/>
                <w:kern w:val="0"/>
                <w:sz w:val="21"/>
                <w:szCs w:val="21"/>
              </w:rPr>
              <w:t>危害性医疗废物</w:t>
            </w:r>
          </w:p>
        </w:tc>
        <w:tc>
          <w:tcPr>
            <w:tcW w:w="6600" w:type="dxa"/>
            <w:vAlign w:val="center"/>
          </w:tcPr>
          <w:p>
            <w:pP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组织物类废物：人体或动物的组织、脏器、器官、身体的一部分；动物的尸体；血液、脓液及血液生成物（血清、血浆、血液制剂）</w:t>
            </w:r>
          </w:p>
          <w:p>
            <w:pP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病理性废物：用于实验、检查等的培养液；培养容器、保管菌株、废试验管、病理切片、盖玻片、废培养基以及废弃手套</w:t>
            </w:r>
          </w:p>
          <w:p>
            <w:pP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损伤性废物：注射针头、缝合针、手术刀、针灸针、牙科用针、破损的玻璃材质实验用品</w:t>
            </w:r>
          </w:p>
          <w:p>
            <w:pP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生物和化学废物：废弃疫苗、废弃抗癌药物、废弃化学治疗用剂</w:t>
            </w:r>
          </w:p>
          <w:p>
            <w:pP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血液污染废物：废弃血液袋、血液透析过程中产生的废物、此外因血液外漏需采取特殊管理措施的废物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vAlign w:val="center"/>
          </w:tcPr>
          <w:p>
            <w:pPr>
              <w:rPr>
                <w:rFonts w:ascii="Times New Roman" w:hAnsi="Times New Roman" w:eastAsia="宋体" w:cs="Times New Roman"/>
                <w:b/>
                <w:color w:val="auto"/>
                <w:kern w:val="0"/>
                <w:sz w:val="21"/>
                <w:szCs w:val="21"/>
              </w:rPr>
            </w:pPr>
            <w:r>
              <w:rPr>
                <w:rFonts w:hint="eastAsia" w:ascii="Times New Roman" w:hAnsi="Times New Roman" w:eastAsia="宋体" w:cs="Times New Roman"/>
                <w:b/>
                <w:color w:val="auto"/>
                <w:kern w:val="0"/>
                <w:sz w:val="21"/>
                <w:szCs w:val="21"/>
              </w:rPr>
              <w:t>普通医疗废物</w:t>
            </w:r>
          </w:p>
        </w:tc>
        <w:tc>
          <w:tcPr>
            <w:tcW w:w="6600" w:type="dxa"/>
            <w:vAlign w:val="center"/>
          </w:tcPr>
          <w:p>
            <w:pP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被血液、体液、分泌物、排泄物污染的棉球；绷带、纱布、一次性尿不湿、卫生巾、一次性注射器、输液器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6" w:type="dxa"/>
            <w:gridSpan w:val="2"/>
            <w:vAlign w:val="center"/>
          </w:tcPr>
          <w:p>
            <w:pPr>
              <w:rPr>
                <w:rFonts w:ascii="Times New Roman" w:hAnsi="Times New Roman" w:eastAsia="宋体" w:cs="Times New Roman"/>
                <w:color w:val="auto"/>
                <w:kern w:val="0"/>
                <w:sz w:val="21"/>
                <w:szCs w:val="21"/>
              </w:rPr>
            </w:pPr>
            <w:r>
              <w:rPr>
                <w:rFonts w:hint="eastAsia" w:ascii="Times New Roman" w:hAnsi="Times New Roman" w:eastAsia="宋体" w:cs="Times New Roman"/>
                <w:color w:val="auto"/>
                <w:kern w:val="0"/>
                <w:sz w:val="21"/>
                <w:szCs w:val="21"/>
              </w:rPr>
              <w:t>注：根据《废物管理法实施法》，感染病患者、疑似感染者、病毒携带者的一次性尿不湿及含有血液的一次性尿不湿属于普通医疗废物。除此之外的患者产生的一次性尿不湿按营业场所普通废物处理。</w:t>
            </w:r>
          </w:p>
        </w:tc>
      </w:tr>
    </w:tbl>
    <w:p>
      <w:pPr>
        <w:spacing w:line="336" w:lineRule="auto"/>
        <w:rPr>
          <w:rFonts w:ascii="Times New Roman" w:hAnsi="Times New Roman" w:eastAsia="宋体" w:cs="Times New Roman"/>
          <w:color w:val="auto"/>
          <w:kern w:val="0"/>
          <w:szCs w:val="21"/>
        </w:rPr>
      </w:pPr>
    </w:p>
    <w:p>
      <w:pPr>
        <w:pStyle w:val="32"/>
        <w:ind w:firstLine="480"/>
        <w:rPr>
          <w:color w:val="auto"/>
        </w:rPr>
      </w:pPr>
      <w:r>
        <w:rPr>
          <w:rFonts w:hint="eastAsia"/>
          <w:color w:val="auto"/>
        </w:rPr>
        <w:t>医疗废物管理体系方面，韩国形成了一整套对废物从分类、排放、保管、运输到处理的全过程管理体系，对医疗废物保管、收集和运输等环节做出了相应的标准规定。针对医疗废物的处理，韩国规定所有医疗废物禁止再利用，必须在杀菌粉碎机或焚烧厂上处理。废物处理厂家只可以进行焚烧，医院内的自行处理设备科进行杀菌粉碎和焚烧。经过灭菌粉碎处理的残渣应及时销毁，销毁时应做到原型彻底破坏且不能重复利用的程度并及时进行填埋。</w:t>
      </w:r>
    </w:p>
    <w:p>
      <w:pPr>
        <w:pStyle w:val="3"/>
        <w:rPr>
          <w:rFonts w:cs="Times New Roman"/>
          <w:color w:val="auto"/>
        </w:rPr>
      </w:pPr>
      <w:bookmarkStart w:id="120" w:name="_Toc26070"/>
      <w:r>
        <w:rPr>
          <w:rFonts w:cs="Times New Roman"/>
          <w:color w:val="auto"/>
        </w:rPr>
        <w:t>国内外医疗废物处理处置污染控制要求</w:t>
      </w:r>
      <w:r>
        <w:rPr>
          <w:rFonts w:hint="eastAsia" w:cs="Times New Roman"/>
          <w:color w:val="auto"/>
        </w:rPr>
        <w:t>对比</w:t>
      </w:r>
      <w:bookmarkEnd w:id="120"/>
    </w:p>
    <w:p>
      <w:pPr>
        <w:pStyle w:val="32"/>
        <w:ind w:firstLine="480"/>
        <w:rPr>
          <w:color w:val="auto"/>
        </w:rPr>
      </w:pPr>
      <w:r>
        <w:rPr>
          <w:color w:val="auto"/>
        </w:rPr>
        <w:t>欧盟工业排放指令2010/75/EU是欧盟危险废物焚烧的污染物排放控制指令，我国针对医疗废物处理处置过程中的污染控制专门制定了《GB 39707医疗废物处理处置污染控制标准》，并将于2021年7月1日起正式实施，北京、上海、河北等多个省市也分别先后制定了关于危险废物焚烧或者医疗废物处置的污染控制标准。</w:t>
      </w:r>
    </w:p>
    <w:p>
      <w:pPr>
        <w:pStyle w:val="32"/>
        <w:ind w:firstLine="480"/>
        <w:rPr>
          <w:color w:val="auto"/>
        </w:rPr>
      </w:pPr>
      <w:r>
        <w:rPr>
          <w:color w:val="auto"/>
        </w:rPr>
        <w:t>从多地制定的标准来看，对于危险废物/医疗废物处置过程，尤其是采用焚烧处置技术的污染物排放控制，颗粒物、酸性气体、重金属、二噁英</w:t>
      </w:r>
      <w:r>
        <w:rPr>
          <w:rFonts w:hint="eastAsia"/>
          <w:color w:val="auto"/>
        </w:rPr>
        <w:t>类物质</w:t>
      </w:r>
      <w:r>
        <w:rPr>
          <w:color w:val="auto"/>
        </w:rPr>
        <w:t>的排放标准都较为严格，尤其是二噁英类的排放限值，数量级基本都达到0.1 ng-TEQ/Nm</w:t>
      </w:r>
      <w:r>
        <w:rPr>
          <w:color w:val="auto"/>
          <w:vertAlign w:val="superscript"/>
        </w:rPr>
        <w:t>3</w:t>
      </w:r>
      <w:r>
        <w:rPr>
          <w:color w:val="auto"/>
        </w:rPr>
        <w:t>，而我国新发布的GB 39707中二噁英类的排放限值为0.5 ng-TEQ/Nm</w:t>
      </w:r>
      <w:r>
        <w:rPr>
          <w:color w:val="auto"/>
          <w:vertAlign w:val="superscript"/>
        </w:rPr>
        <w:t>3</w:t>
      </w:r>
      <w:r>
        <w:rPr>
          <w:color w:val="auto"/>
        </w:rPr>
        <w:t>，日后有趋严趋势，这对医疗废物焚烧处置技术的污染控制提出了极高要求。</w:t>
      </w:r>
      <w:r>
        <w:rPr>
          <w:rFonts w:hint="eastAsia"/>
          <w:color w:val="auto"/>
        </w:rPr>
        <w:t>美国针对医疗废物的焚烧标准</w:t>
      </w:r>
      <w:r>
        <w:rPr>
          <w:color w:val="auto"/>
        </w:rPr>
        <w:t>HIMAWI</w:t>
      </w:r>
      <w:r>
        <w:rPr>
          <w:rFonts w:hint="eastAsia"/>
          <w:color w:val="auto"/>
        </w:rPr>
        <w:t>已经到了非常严苛的程度，直接导致美国医废焚化炉的数量有所下降和使用</w:t>
      </w:r>
      <w:r>
        <w:rPr>
          <w:color w:val="auto"/>
        </w:rPr>
        <w:t>替代技术来处理医疗废物的情况有所增加</w:t>
      </w:r>
      <w:r>
        <w:rPr>
          <w:rFonts w:hint="eastAsia"/>
          <w:color w:val="auto"/>
        </w:rPr>
        <w:t>。</w:t>
      </w:r>
    </w:p>
    <w:p>
      <w:pPr>
        <w:pStyle w:val="32"/>
        <w:ind w:firstLine="480"/>
        <w:rPr>
          <w:color w:val="auto"/>
          <w:kern w:val="0"/>
          <w:szCs w:val="21"/>
        </w:rPr>
      </w:pPr>
      <w:r>
        <w:rPr>
          <w:rFonts w:hint="eastAsia"/>
          <w:color w:val="auto"/>
        </w:rPr>
        <w:t>我国GB39707</w:t>
      </w:r>
      <w:r>
        <w:rPr>
          <w:rFonts w:hint="eastAsia"/>
          <w:color w:val="auto"/>
          <w:kern w:val="0"/>
          <w:szCs w:val="21"/>
        </w:rPr>
        <w:t>和欧盟2</w:t>
      </w:r>
      <w:r>
        <w:rPr>
          <w:color w:val="auto"/>
          <w:kern w:val="0"/>
          <w:szCs w:val="21"/>
        </w:rPr>
        <w:t>010/75/</w:t>
      </w:r>
      <w:r>
        <w:rPr>
          <w:rFonts w:hint="eastAsia"/>
          <w:color w:val="auto"/>
          <w:kern w:val="0"/>
          <w:szCs w:val="21"/>
        </w:rPr>
        <w:t>EU相比，颗粒物、CO、SO</w:t>
      </w:r>
      <w:r>
        <w:rPr>
          <w:color w:val="auto"/>
          <w:kern w:val="0"/>
          <w:szCs w:val="21"/>
          <w:vertAlign w:val="subscript"/>
        </w:rPr>
        <w:t>2</w:t>
      </w:r>
      <w:r>
        <w:rPr>
          <w:rFonts w:hint="eastAsia"/>
          <w:color w:val="auto"/>
          <w:kern w:val="0"/>
          <w:szCs w:val="21"/>
        </w:rPr>
        <w:t>、HF的排放限值都要更为宽松；HCl和二噁英类排放浓度指标的有一定差距，HCl浓度GB39707为5</w:t>
      </w:r>
      <w:r>
        <w:rPr>
          <w:color w:val="auto"/>
          <w:kern w:val="0"/>
          <w:szCs w:val="21"/>
        </w:rPr>
        <w:t>0</w:t>
      </w:r>
      <w:r>
        <w:rPr>
          <w:color w:val="auto"/>
        </w:rPr>
        <w:t xml:space="preserve"> </w:t>
      </w:r>
      <w:r>
        <w:rPr>
          <w:color w:val="auto"/>
          <w:kern w:val="0"/>
          <w:szCs w:val="21"/>
        </w:rPr>
        <w:t>mg/Nm</w:t>
      </w:r>
      <w:r>
        <w:rPr>
          <w:color w:val="auto"/>
          <w:kern w:val="0"/>
          <w:szCs w:val="21"/>
          <w:vertAlign w:val="superscript"/>
        </w:rPr>
        <w:t>3</w:t>
      </w:r>
      <w:r>
        <w:rPr>
          <w:rFonts w:hint="eastAsia"/>
          <w:color w:val="auto"/>
          <w:kern w:val="0"/>
          <w:szCs w:val="21"/>
        </w:rPr>
        <w:t>，2</w:t>
      </w:r>
      <w:r>
        <w:rPr>
          <w:color w:val="auto"/>
          <w:kern w:val="0"/>
          <w:szCs w:val="21"/>
        </w:rPr>
        <w:t>010/75/</w:t>
      </w:r>
      <w:r>
        <w:rPr>
          <w:rFonts w:hint="eastAsia"/>
          <w:color w:val="auto"/>
          <w:kern w:val="0"/>
          <w:szCs w:val="21"/>
        </w:rPr>
        <w:t>EU为1</w:t>
      </w:r>
      <w:r>
        <w:rPr>
          <w:color w:val="auto"/>
          <w:kern w:val="0"/>
          <w:szCs w:val="21"/>
        </w:rPr>
        <w:t>0 mg/Nm</w:t>
      </w:r>
      <w:r>
        <w:rPr>
          <w:color w:val="auto"/>
          <w:kern w:val="0"/>
          <w:szCs w:val="21"/>
          <w:vertAlign w:val="superscript"/>
        </w:rPr>
        <w:t>3</w:t>
      </w:r>
      <w:r>
        <w:rPr>
          <w:rFonts w:hint="eastAsia"/>
          <w:color w:val="auto"/>
          <w:kern w:val="0"/>
          <w:szCs w:val="21"/>
        </w:rPr>
        <w:t>，二噁英类物质浓度GB39707为</w:t>
      </w:r>
      <w:r>
        <w:rPr>
          <w:color w:val="auto"/>
          <w:kern w:val="0"/>
          <w:szCs w:val="21"/>
        </w:rPr>
        <w:t>0.5</w:t>
      </w:r>
      <w:r>
        <w:rPr>
          <w:color w:val="auto"/>
        </w:rPr>
        <w:t xml:space="preserve"> </w:t>
      </w:r>
      <w:r>
        <w:rPr>
          <w:color w:val="auto"/>
          <w:kern w:val="0"/>
          <w:szCs w:val="21"/>
        </w:rPr>
        <w:t>ng-TEQ/Nm</w:t>
      </w:r>
      <w:r>
        <w:rPr>
          <w:color w:val="auto"/>
          <w:kern w:val="0"/>
          <w:szCs w:val="21"/>
          <w:vertAlign w:val="superscript"/>
        </w:rPr>
        <w:t>3</w:t>
      </w:r>
      <w:r>
        <w:rPr>
          <w:rFonts w:hint="eastAsia"/>
          <w:color w:val="auto"/>
          <w:kern w:val="0"/>
          <w:szCs w:val="21"/>
        </w:rPr>
        <w:t>，2</w:t>
      </w:r>
      <w:r>
        <w:rPr>
          <w:color w:val="auto"/>
          <w:kern w:val="0"/>
          <w:szCs w:val="21"/>
        </w:rPr>
        <w:t>010/75/</w:t>
      </w:r>
      <w:r>
        <w:rPr>
          <w:rFonts w:hint="eastAsia"/>
          <w:color w:val="auto"/>
          <w:kern w:val="0"/>
          <w:szCs w:val="21"/>
        </w:rPr>
        <w:t>EU为</w:t>
      </w:r>
      <w:r>
        <w:rPr>
          <w:color w:val="auto"/>
          <w:kern w:val="0"/>
          <w:szCs w:val="21"/>
        </w:rPr>
        <w:t>0.1</w:t>
      </w:r>
      <w:r>
        <w:rPr>
          <w:color w:val="auto"/>
        </w:rPr>
        <w:t xml:space="preserve"> </w:t>
      </w:r>
      <w:r>
        <w:rPr>
          <w:color w:val="auto"/>
          <w:kern w:val="0"/>
          <w:szCs w:val="21"/>
        </w:rPr>
        <w:t>ng-TEQ/Nm</w:t>
      </w:r>
      <w:r>
        <w:rPr>
          <w:color w:val="auto"/>
          <w:kern w:val="0"/>
          <w:szCs w:val="21"/>
          <w:vertAlign w:val="superscript"/>
        </w:rPr>
        <w:t>3</w:t>
      </w:r>
      <w:r>
        <w:rPr>
          <w:rFonts w:hint="eastAsia"/>
          <w:color w:val="auto"/>
          <w:kern w:val="0"/>
          <w:szCs w:val="21"/>
        </w:rPr>
        <w:t>；氮氧化物方面，我国目前250</w:t>
      </w:r>
      <w:r>
        <w:rPr>
          <w:color w:val="auto"/>
          <w:kern w:val="0"/>
          <w:szCs w:val="21"/>
        </w:rPr>
        <w:t xml:space="preserve"> mg/Nm</w:t>
      </w:r>
      <w:r>
        <w:rPr>
          <w:color w:val="auto"/>
          <w:kern w:val="0"/>
          <w:szCs w:val="21"/>
          <w:vertAlign w:val="superscript"/>
        </w:rPr>
        <w:t>3</w:t>
      </w:r>
      <w:r>
        <w:rPr>
          <w:rFonts w:hint="eastAsia"/>
          <w:color w:val="auto"/>
          <w:kern w:val="0"/>
          <w:szCs w:val="21"/>
        </w:rPr>
        <w:t>的限值要严格于欧盟400</w:t>
      </w:r>
      <w:r>
        <w:rPr>
          <w:color w:val="auto"/>
          <w:kern w:val="0"/>
          <w:szCs w:val="21"/>
        </w:rPr>
        <w:t xml:space="preserve"> mg/Nm</w:t>
      </w:r>
      <w:r>
        <w:rPr>
          <w:color w:val="auto"/>
          <w:kern w:val="0"/>
          <w:szCs w:val="21"/>
          <w:vertAlign w:val="superscript"/>
        </w:rPr>
        <w:t>3</w:t>
      </w:r>
      <w:r>
        <w:rPr>
          <w:rFonts w:hint="eastAsia"/>
          <w:color w:val="auto"/>
          <w:kern w:val="0"/>
          <w:szCs w:val="21"/>
        </w:rPr>
        <w:t>（</w:t>
      </w:r>
      <w:r>
        <w:rPr>
          <w:color w:val="auto"/>
          <w:kern w:val="0"/>
          <w:szCs w:val="21"/>
        </w:rPr>
        <w:t>&lt;6t/h</w:t>
      </w:r>
      <w:r>
        <w:rPr>
          <w:rFonts w:hint="eastAsia"/>
          <w:color w:val="auto"/>
          <w:kern w:val="0"/>
          <w:szCs w:val="21"/>
        </w:rPr>
        <w:t>）的要求（目前我国医疗废物单线处置规模最大的为80t/d回转窑焚烧设施）；重金属指标我国的GB</w:t>
      </w:r>
      <w:r>
        <w:rPr>
          <w:color w:val="auto"/>
          <w:kern w:val="0"/>
          <w:szCs w:val="21"/>
        </w:rPr>
        <w:t>39707</w:t>
      </w:r>
      <w:r>
        <w:rPr>
          <w:rFonts w:hint="eastAsia"/>
          <w:color w:val="auto"/>
          <w:kern w:val="0"/>
          <w:szCs w:val="21"/>
        </w:rPr>
        <w:t>规定了包括汞、镉、铊、铅、砷、铬等金属及其化合物以及锡、锑、铜、锰、镍及其化合物的限值浓度，而2</w:t>
      </w:r>
      <w:r>
        <w:rPr>
          <w:color w:val="auto"/>
          <w:kern w:val="0"/>
          <w:szCs w:val="21"/>
        </w:rPr>
        <w:t>010/75/</w:t>
      </w:r>
      <w:r>
        <w:rPr>
          <w:rFonts w:hint="eastAsia"/>
          <w:color w:val="auto"/>
          <w:kern w:val="0"/>
          <w:szCs w:val="21"/>
        </w:rPr>
        <w:t>EU仅规定了汞、镉、铊及其化合物以及锑、砷、铅、铬、钴、铜、锰、镍、钒及其化合物的限值浓度。</w:t>
      </w:r>
    </w:p>
    <w:p>
      <w:pPr>
        <w:pStyle w:val="32"/>
        <w:ind w:firstLine="480"/>
        <w:rPr>
          <w:color w:val="auto"/>
          <w:kern w:val="0"/>
          <w:szCs w:val="21"/>
        </w:rPr>
      </w:pPr>
      <w:r>
        <w:rPr>
          <w:rFonts w:hint="eastAsia"/>
          <w:color w:val="auto"/>
          <w:kern w:val="0"/>
          <w:szCs w:val="21"/>
        </w:rPr>
        <w:t>和国内其他地方相比，河北省2018年发布的《医疗废物焚烧污染控制标准》中的CO、砷及其化合物以及二噁英类物质的排放限值浓度要严格于GB39707，而SO</w:t>
      </w:r>
      <w:r>
        <w:rPr>
          <w:color w:val="auto"/>
          <w:kern w:val="0"/>
          <w:szCs w:val="21"/>
          <w:vertAlign w:val="subscript"/>
        </w:rPr>
        <w:t>2</w:t>
      </w:r>
      <w:r>
        <w:rPr>
          <w:rFonts w:hint="eastAsia"/>
          <w:color w:val="auto"/>
          <w:kern w:val="0"/>
          <w:szCs w:val="21"/>
        </w:rPr>
        <w:t>、NOx的排放限值浓度要更为宽松。北京、上海、海南没有专门针对医疗废物焚烧的污染控制标准，分别于2007、2013以及2022年先后发布了《危险废物焚烧大气污染物控制标准》或《危险废物焚烧污染控制标准》（征求意见稿）。其中，北京的标准发布的最早，除CO（55</w:t>
      </w:r>
      <w:r>
        <w:rPr>
          <w:color w:val="auto"/>
          <w:kern w:val="0"/>
          <w:szCs w:val="21"/>
        </w:rPr>
        <w:t>mg/Nm</w:t>
      </w:r>
      <w:r>
        <w:rPr>
          <w:color w:val="auto"/>
          <w:kern w:val="0"/>
          <w:szCs w:val="21"/>
          <w:vertAlign w:val="superscript"/>
        </w:rPr>
        <w:t>3</w:t>
      </w:r>
      <w:r>
        <w:rPr>
          <w:rFonts w:hint="eastAsia"/>
          <w:color w:val="auto"/>
          <w:kern w:val="0"/>
          <w:szCs w:val="21"/>
        </w:rPr>
        <w:t>）和二噁英类物质（</w:t>
      </w:r>
      <w:r>
        <w:rPr>
          <w:color w:val="auto"/>
          <w:kern w:val="0"/>
          <w:szCs w:val="21"/>
        </w:rPr>
        <w:t>0.1</w:t>
      </w:r>
      <w:r>
        <w:rPr>
          <w:color w:val="auto"/>
        </w:rPr>
        <w:t xml:space="preserve"> </w:t>
      </w:r>
      <w:r>
        <w:rPr>
          <w:color w:val="auto"/>
          <w:kern w:val="0"/>
          <w:szCs w:val="21"/>
        </w:rPr>
        <w:t>ng-TEQ/Nm</w:t>
      </w:r>
      <w:r>
        <w:rPr>
          <w:color w:val="auto"/>
          <w:kern w:val="0"/>
          <w:szCs w:val="21"/>
          <w:vertAlign w:val="superscript"/>
        </w:rPr>
        <w:t>3</w:t>
      </w:r>
      <w:r>
        <w:rPr>
          <w:rFonts w:hint="eastAsia"/>
          <w:color w:val="auto"/>
          <w:kern w:val="0"/>
          <w:szCs w:val="21"/>
        </w:rPr>
        <w:t>）的其他指标均逊于现行的G</w:t>
      </w:r>
      <w:r>
        <w:rPr>
          <w:color w:val="auto"/>
          <w:kern w:val="0"/>
          <w:szCs w:val="21"/>
        </w:rPr>
        <w:t>B39707</w:t>
      </w:r>
      <w:r>
        <w:rPr>
          <w:rFonts w:hint="eastAsia"/>
          <w:color w:val="auto"/>
          <w:kern w:val="0"/>
          <w:szCs w:val="21"/>
        </w:rPr>
        <w:t>；上海的标准中相关污染物指标排放限值与现行GB</w:t>
      </w:r>
      <w:r>
        <w:rPr>
          <w:color w:val="auto"/>
          <w:kern w:val="0"/>
          <w:szCs w:val="21"/>
        </w:rPr>
        <w:t>39707</w:t>
      </w:r>
      <w:r>
        <w:rPr>
          <w:rFonts w:hint="eastAsia"/>
          <w:color w:val="auto"/>
          <w:kern w:val="0"/>
          <w:szCs w:val="21"/>
        </w:rPr>
        <w:t>保持一致或更为严格，HCl要求限值仅为10</w:t>
      </w:r>
      <w:r>
        <w:rPr>
          <w:color w:val="auto"/>
          <w:kern w:val="0"/>
          <w:szCs w:val="21"/>
        </w:rPr>
        <w:t xml:space="preserve"> mg/Nm</w:t>
      </w:r>
      <w:r>
        <w:rPr>
          <w:color w:val="auto"/>
          <w:kern w:val="0"/>
          <w:szCs w:val="21"/>
          <w:vertAlign w:val="superscript"/>
        </w:rPr>
        <w:t>3</w:t>
      </w:r>
      <w:r>
        <w:rPr>
          <w:rFonts w:hint="eastAsia"/>
          <w:color w:val="auto"/>
          <w:kern w:val="0"/>
          <w:szCs w:val="21"/>
        </w:rPr>
        <w:t>，与欧盟2</w:t>
      </w:r>
      <w:r>
        <w:rPr>
          <w:color w:val="auto"/>
          <w:kern w:val="0"/>
          <w:szCs w:val="21"/>
        </w:rPr>
        <w:t>010/75/</w:t>
      </w:r>
      <w:r>
        <w:rPr>
          <w:rFonts w:hint="eastAsia"/>
          <w:color w:val="auto"/>
          <w:kern w:val="0"/>
          <w:szCs w:val="21"/>
        </w:rPr>
        <w:t>EU一致，二噁英类物质排放限值亦为</w:t>
      </w:r>
      <w:r>
        <w:rPr>
          <w:color w:val="auto"/>
          <w:kern w:val="0"/>
          <w:szCs w:val="21"/>
        </w:rPr>
        <w:t>0.1</w:t>
      </w:r>
      <w:r>
        <w:rPr>
          <w:color w:val="auto"/>
        </w:rPr>
        <w:t xml:space="preserve"> </w:t>
      </w:r>
      <w:r>
        <w:rPr>
          <w:color w:val="auto"/>
          <w:kern w:val="0"/>
          <w:szCs w:val="21"/>
        </w:rPr>
        <w:t>ng-TEQ/Nm</w:t>
      </w:r>
      <w:r>
        <w:rPr>
          <w:color w:val="auto"/>
          <w:kern w:val="0"/>
          <w:szCs w:val="21"/>
          <w:vertAlign w:val="superscript"/>
        </w:rPr>
        <w:t>3</w:t>
      </w:r>
      <w:r>
        <w:rPr>
          <w:rFonts w:hint="eastAsia"/>
          <w:color w:val="auto"/>
          <w:kern w:val="0"/>
          <w:szCs w:val="21"/>
        </w:rPr>
        <w:t>；最新发布的海南省标准征求意见稿，相关指标浓度限值均为最低，比GB3</w:t>
      </w:r>
      <w:r>
        <w:rPr>
          <w:color w:val="auto"/>
          <w:kern w:val="0"/>
          <w:szCs w:val="21"/>
        </w:rPr>
        <w:t>9707</w:t>
      </w:r>
      <w:r>
        <w:rPr>
          <w:rFonts w:hint="eastAsia"/>
          <w:color w:val="auto"/>
          <w:kern w:val="0"/>
          <w:szCs w:val="21"/>
        </w:rPr>
        <w:t>和2</w:t>
      </w:r>
      <w:r>
        <w:rPr>
          <w:color w:val="auto"/>
          <w:kern w:val="0"/>
          <w:szCs w:val="21"/>
        </w:rPr>
        <w:t>010/75/</w:t>
      </w:r>
      <w:r>
        <w:rPr>
          <w:rFonts w:hint="eastAsia"/>
          <w:color w:val="auto"/>
          <w:kern w:val="0"/>
          <w:szCs w:val="21"/>
        </w:rPr>
        <w:t>EU都要更为严苛。</w:t>
      </w:r>
    </w:p>
    <w:p>
      <w:pPr>
        <w:pStyle w:val="32"/>
        <w:ind w:firstLine="480"/>
        <w:rPr>
          <w:color w:val="auto"/>
          <w:kern w:val="0"/>
          <w:szCs w:val="21"/>
        </w:rPr>
      </w:pPr>
      <w:r>
        <w:rPr>
          <w:rFonts w:hint="eastAsia"/>
          <w:color w:val="auto"/>
          <w:kern w:val="0"/>
          <w:szCs w:val="21"/>
        </w:rPr>
        <w:t>江苏省目前尚无针对危险废物焚烧或医疗废物焚烧的大气污染物控制标准，综合考虑本标准适用的医疗废物等离子体处置技术特点，大气污染物排放指标遵循GB3</w:t>
      </w:r>
      <w:r>
        <w:rPr>
          <w:color w:val="auto"/>
          <w:kern w:val="0"/>
          <w:szCs w:val="21"/>
        </w:rPr>
        <w:t>9707</w:t>
      </w:r>
      <w:r>
        <w:rPr>
          <w:rFonts w:hint="eastAsia"/>
          <w:color w:val="auto"/>
          <w:kern w:val="0"/>
          <w:szCs w:val="21"/>
        </w:rPr>
        <w:t>相关要求。</w:t>
      </w:r>
    </w:p>
    <w:p>
      <w:pPr>
        <w:pStyle w:val="32"/>
        <w:ind w:firstLine="0" w:firstLineChars="0"/>
        <w:rPr>
          <w:color w:val="auto"/>
          <w:kern w:val="0"/>
          <w:szCs w:val="21"/>
        </w:rPr>
        <w:sectPr>
          <w:pgSz w:w="11906" w:h="16838"/>
          <w:pgMar w:top="1440" w:right="1800" w:bottom="1440" w:left="1800" w:header="851" w:footer="992" w:gutter="0"/>
          <w:cols w:space="425" w:num="1"/>
          <w:docGrid w:type="lines" w:linePitch="312" w:charSpace="0"/>
        </w:sectPr>
      </w:pPr>
    </w:p>
    <w:p>
      <w:pPr>
        <w:pStyle w:val="23"/>
        <w:numPr>
          <w:ilvl w:val="0"/>
          <w:numId w:val="14"/>
        </w:numPr>
        <w:spacing w:line="336" w:lineRule="auto"/>
        <w:ind w:firstLineChars="0"/>
        <w:jc w:val="center"/>
        <w:rPr>
          <w:rFonts w:ascii="Times New Roman" w:hAnsi="Times New Roman" w:eastAsia="宋体" w:cs="Times New Roman"/>
          <w:b/>
          <w:color w:val="auto"/>
          <w:kern w:val="0"/>
          <w:szCs w:val="21"/>
        </w:rPr>
      </w:pPr>
      <w:r>
        <w:rPr>
          <w:rFonts w:ascii="Times New Roman" w:hAnsi="Times New Roman" w:eastAsia="宋体" w:cs="Times New Roman"/>
          <w:b/>
          <w:color w:val="auto"/>
          <w:kern w:val="0"/>
          <w:szCs w:val="21"/>
        </w:rPr>
        <w:t>医疗废物处理处置污染控制标准比较</w:t>
      </w:r>
    </w:p>
    <w:tbl>
      <w:tblPr>
        <w:tblStyle w:val="16"/>
        <w:tblW w:w="13919" w:type="dxa"/>
        <w:jc w:val="center"/>
        <w:tblLayout w:type="fixed"/>
        <w:tblCellMar>
          <w:top w:w="0" w:type="dxa"/>
          <w:left w:w="108" w:type="dxa"/>
          <w:bottom w:w="0" w:type="dxa"/>
          <w:right w:w="108" w:type="dxa"/>
        </w:tblCellMar>
      </w:tblPr>
      <w:tblGrid>
        <w:gridCol w:w="2865"/>
        <w:gridCol w:w="1006"/>
        <w:gridCol w:w="1625"/>
        <w:gridCol w:w="1625"/>
        <w:gridCol w:w="1628"/>
        <w:gridCol w:w="1465"/>
        <w:gridCol w:w="1595"/>
        <w:gridCol w:w="1055"/>
        <w:gridCol w:w="1055"/>
      </w:tblGrid>
      <w:tr>
        <w:tblPrEx>
          <w:tblCellMar>
            <w:top w:w="0" w:type="dxa"/>
            <w:left w:w="108" w:type="dxa"/>
            <w:bottom w:w="0" w:type="dxa"/>
            <w:right w:w="108" w:type="dxa"/>
          </w:tblCellMar>
        </w:tblPrEx>
        <w:trPr>
          <w:trHeight w:val="1120" w:hRule="atLeast"/>
          <w:jc w:val="center"/>
        </w:trPr>
        <w:tc>
          <w:tcPr>
            <w:tcW w:w="2865" w:type="dxa"/>
            <w:vMerge w:val="restart"/>
            <w:tcBorders>
              <w:top w:val="single" w:color="auto" w:sz="4" w:space="0"/>
              <w:left w:val="single" w:color="auto" w:sz="4" w:space="0"/>
              <w:bottom w:val="single" w:color="000000"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
                <w:bCs/>
                <w:color w:val="auto"/>
                <w:kern w:val="0"/>
                <w:sz w:val="18"/>
                <w:szCs w:val="18"/>
              </w:rPr>
            </w:pPr>
            <w:r>
              <w:rPr>
                <w:rFonts w:hint="eastAsia" w:ascii="Times New Roman" w:hAnsi="Times New Roman" w:eastAsia="宋体" w:cs="Times New Roman"/>
                <w:b/>
                <w:bCs/>
                <w:color w:val="auto"/>
                <w:kern w:val="0"/>
                <w:sz w:val="18"/>
                <w:szCs w:val="18"/>
              </w:rPr>
              <w:t>污染物名称</w:t>
            </w:r>
          </w:p>
        </w:tc>
        <w:tc>
          <w:tcPr>
            <w:tcW w:w="1006" w:type="dxa"/>
            <w:vMerge w:val="restart"/>
            <w:tcBorders>
              <w:top w:val="single" w:color="auto" w:sz="4" w:space="0"/>
              <w:left w:val="single" w:color="auto" w:sz="4" w:space="0"/>
              <w:bottom w:val="single" w:color="000000"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
                <w:bCs/>
                <w:color w:val="auto"/>
                <w:kern w:val="0"/>
                <w:sz w:val="18"/>
                <w:szCs w:val="18"/>
              </w:rPr>
            </w:pPr>
            <w:r>
              <w:rPr>
                <w:rFonts w:hint="eastAsia" w:ascii="Times New Roman" w:hAnsi="Times New Roman" w:eastAsia="宋体" w:cs="Times New Roman"/>
                <w:b/>
                <w:bCs/>
                <w:color w:val="auto"/>
                <w:kern w:val="0"/>
                <w:sz w:val="18"/>
                <w:szCs w:val="18"/>
              </w:rPr>
              <w:t>单位</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
                <w:bCs/>
                <w:color w:val="auto"/>
                <w:kern w:val="0"/>
                <w:sz w:val="18"/>
                <w:szCs w:val="18"/>
              </w:rPr>
            </w:pPr>
            <w:r>
              <w:rPr>
                <w:rFonts w:ascii="Times New Roman" w:hAnsi="Times New Roman" w:eastAsia="宋体" w:cs="Times New Roman"/>
                <w:b/>
                <w:bCs/>
                <w:color w:val="auto"/>
                <w:kern w:val="0"/>
                <w:sz w:val="18"/>
                <w:szCs w:val="18"/>
              </w:rPr>
              <w:t>中国</w:t>
            </w:r>
          </w:p>
          <w:p>
            <w:pPr>
              <w:widowControl/>
              <w:adjustRightInd w:val="0"/>
              <w:snapToGrid w:val="0"/>
              <w:jc w:val="center"/>
              <w:rPr>
                <w:rFonts w:ascii="Times New Roman" w:hAnsi="Times New Roman" w:eastAsia="宋体" w:cs="Times New Roman"/>
                <w:b/>
                <w:bCs/>
                <w:color w:val="auto"/>
                <w:kern w:val="0"/>
                <w:sz w:val="18"/>
                <w:szCs w:val="18"/>
              </w:rPr>
            </w:pPr>
            <w:r>
              <w:rPr>
                <w:rFonts w:ascii="Times New Roman" w:hAnsi="Times New Roman" w:eastAsia="宋体" w:cs="Times New Roman"/>
                <w:b/>
                <w:bCs/>
                <w:color w:val="auto"/>
                <w:kern w:val="0"/>
                <w:sz w:val="18"/>
                <w:szCs w:val="18"/>
              </w:rPr>
              <w:t>医疗废物处理处置污染控制标准</w:t>
            </w:r>
          </w:p>
          <w:p>
            <w:pPr>
              <w:widowControl/>
              <w:adjustRightInd w:val="0"/>
              <w:snapToGrid w:val="0"/>
              <w:jc w:val="center"/>
              <w:rPr>
                <w:rFonts w:ascii="Times New Roman" w:hAnsi="Times New Roman" w:eastAsia="宋体" w:cs="Times New Roman"/>
                <w:b/>
                <w:bCs/>
                <w:color w:val="auto"/>
                <w:kern w:val="0"/>
                <w:sz w:val="18"/>
                <w:szCs w:val="18"/>
              </w:rPr>
            </w:pPr>
            <w:r>
              <w:rPr>
                <w:rFonts w:ascii="Times New Roman" w:hAnsi="Times New Roman" w:eastAsia="宋体" w:cs="Times New Roman"/>
                <w:b/>
                <w:bCs/>
                <w:color w:val="auto"/>
                <w:kern w:val="0"/>
                <w:sz w:val="18"/>
                <w:szCs w:val="18"/>
              </w:rPr>
              <w:t>GB 39707</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
                <w:bCs/>
                <w:color w:val="auto"/>
                <w:kern w:val="0"/>
                <w:sz w:val="18"/>
                <w:szCs w:val="18"/>
              </w:rPr>
            </w:pPr>
            <w:r>
              <w:rPr>
                <w:rFonts w:hint="eastAsia" w:ascii="Times New Roman" w:hAnsi="Times New Roman" w:eastAsia="宋体" w:cs="Times New Roman"/>
                <w:b/>
                <w:bCs/>
                <w:color w:val="auto"/>
                <w:kern w:val="0"/>
                <w:sz w:val="18"/>
                <w:szCs w:val="18"/>
              </w:rPr>
              <w:t>北京</w:t>
            </w:r>
          </w:p>
          <w:p>
            <w:pPr>
              <w:widowControl/>
              <w:adjustRightInd w:val="0"/>
              <w:snapToGrid w:val="0"/>
              <w:jc w:val="center"/>
              <w:rPr>
                <w:rFonts w:ascii="Times New Roman" w:hAnsi="Times New Roman" w:eastAsia="宋体" w:cs="Times New Roman"/>
                <w:b/>
                <w:bCs/>
                <w:color w:val="auto"/>
                <w:kern w:val="0"/>
                <w:sz w:val="18"/>
                <w:szCs w:val="18"/>
              </w:rPr>
            </w:pPr>
            <w:r>
              <w:rPr>
                <w:rFonts w:hint="eastAsia" w:ascii="Times New Roman" w:hAnsi="Times New Roman" w:eastAsia="宋体" w:cs="Times New Roman"/>
                <w:b/>
                <w:bCs/>
                <w:color w:val="auto"/>
                <w:kern w:val="0"/>
                <w:sz w:val="18"/>
                <w:szCs w:val="18"/>
              </w:rPr>
              <w:t>危险废物焚烧大气污染物排放标准</w:t>
            </w:r>
          </w:p>
          <w:p>
            <w:pPr>
              <w:widowControl/>
              <w:adjustRightInd w:val="0"/>
              <w:snapToGrid w:val="0"/>
              <w:jc w:val="center"/>
              <w:rPr>
                <w:rFonts w:ascii="Times New Roman" w:hAnsi="Times New Roman" w:eastAsia="宋体" w:cs="Times New Roman"/>
                <w:b/>
                <w:bCs/>
                <w:color w:val="auto"/>
                <w:kern w:val="0"/>
                <w:sz w:val="18"/>
                <w:szCs w:val="18"/>
              </w:rPr>
            </w:pPr>
            <w:r>
              <w:rPr>
                <w:rFonts w:ascii="Times New Roman" w:hAnsi="Times New Roman" w:eastAsia="宋体" w:cs="Times New Roman"/>
                <w:b/>
                <w:bCs/>
                <w:color w:val="auto"/>
                <w:kern w:val="0"/>
                <w:sz w:val="18"/>
                <w:szCs w:val="18"/>
              </w:rPr>
              <w:t>DB11/503-2007</w:t>
            </w:r>
          </w:p>
        </w:tc>
        <w:tc>
          <w:tcPr>
            <w:tcW w:w="1628" w:type="dxa"/>
            <w:tcBorders>
              <w:top w:val="single" w:color="auto" w:sz="4" w:space="0"/>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
                <w:bCs/>
                <w:color w:val="auto"/>
                <w:kern w:val="0"/>
                <w:sz w:val="18"/>
                <w:szCs w:val="18"/>
              </w:rPr>
            </w:pPr>
            <w:r>
              <w:rPr>
                <w:rFonts w:hint="eastAsia" w:ascii="Times New Roman" w:hAnsi="Times New Roman" w:eastAsia="宋体" w:cs="Times New Roman"/>
                <w:b/>
                <w:bCs/>
                <w:color w:val="auto"/>
                <w:kern w:val="0"/>
                <w:sz w:val="18"/>
                <w:szCs w:val="18"/>
              </w:rPr>
              <w:t>上海</w:t>
            </w:r>
          </w:p>
          <w:p>
            <w:pPr>
              <w:widowControl/>
              <w:adjustRightInd w:val="0"/>
              <w:snapToGrid w:val="0"/>
              <w:jc w:val="center"/>
              <w:rPr>
                <w:rFonts w:ascii="Times New Roman" w:hAnsi="Times New Roman" w:eastAsia="宋体" w:cs="Times New Roman"/>
                <w:b/>
                <w:bCs/>
                <w:color w:val="auto"/>
                <w:kern w:val="0"/>
                <w:sz w:val="18"/>
                <w:szCs w:val="18"/>
              </w:rPr>
            </w:pPr>
            <w:r>
              <w:rPr>
                <w:rFonts w:hint="eastAsia" w:ascii="Times New Roman" w:hAnsi="Times New Roman" w:eastAsia="宋体" w:cs="Times New Roman"/>
                <w:b/>
                <w:bCs/>
                <w:color w:val="auto"/>
                <w:kern w:val="0"/>
                <w:sz w:val="18"/>
                <w:szCs w:val="18"/>
              </w:rPr>
              <w:t>危险废物焚烧大气污染物排放标准</w:t>
            </w:r>
          </w:p>
          <w:p>
            <w:pPr>
              <w:widowControl/>
              <w:adjustRightInd w:val="0"/>
              <w:snapToGrid w:val="0"/>
              <w:jc w:val="center"/>
              <w:rPr>
                <w:rFonts w:ascii="Times New Roman" w:hAnsi="Times New Roman" w:eastAsia="宋体" w:cs="Times New Roman"/>
                <w:b/>
                <w:bCs/>
                <w:color w:val="auto"/>
                <w:kern w:val="0"/>
                <w:sz w:val="18"/>
                <w:szCs w:val="18"/>
              </w:rPr>
            </w:pPr>
            <w:r>
              <w:rPr>
                <w:rFonts w:ascii="Times New Roman" w:hAnsi="Times New Roman" w:eastAsia="宋体" w:cs="Times New Roman"/>
                <w:b/>
                <w:bCs/>
                <w:color w:val="auto"/>
                <w:kern w:val="0"/>
                <w:sz w:val="18"/>
                <w:szCs w:val="18"/>
              </w:rPr>
              <w:t>DB31/767-2013</w:t>
            </w:r>
          </w:p>
        </w:tc>
        <w:tc>
          <w:tcPr>
            <w:tcW w:w="1465" w:type="dxa"/>
            <w:tcBorders>
              <w:top w:val="single" w:color="auto" w:sz="4" w:space="0"/>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
                <w:bCs/>
                <w:color w:val="auto"/>
                <w:kern w:val="0"/>
                <w:sz w:val="18"/>
                <w:szCs w:val="18"/>
              </w:rPr>
            </w:pPr>
            <w:r>
              <w:rPr>
                <w:rFonts w:hint="eastAsia" w:ascii="Times New Roman" w:hAnsi="Times New Roman" w:eastAsia="宋体" w:cs="Times New Roman"/>
                <w:b/>
                <w:bCs/>
                <w:color w:val="auto"/>
                <w:kern w:val="0"/>
                <w:sz w:val="18"/>
                <w:szCs w:val="18"/>
              </w:rPr>
              <w:t>河北</w:t>
            </w:r>
          </w:p>
          <w:p>
            <w:pPr>
              <w:widowControl/>
              <w:adjustRightInd w:val="0"/>
              <w:snapToGrid w:val="0"/>
              <w:jc w:val="center"/>
              <w:rPr>
                <w:rFonts w:ascii="Times New Roman" w:hAnsi="Times New Roman" w:eastAsia="宋体" w:cs="Times New Roman"/>
                <w:b/>
                <w:bCs/>
                <w:color w:val="auto"/>
                <w:kern w:val="0"/>
                <w:sz w:val="18"/>
                <w:szCs w:val="18"/>
              </w:rPr>
            </w:pPr>
            <w:r>
              <w:rPr>
                <w:rFonts w:hint="eastAsia" w:ascii="Times New Roman" w:hAnsi="Times New Roman" w:eastAsia="宋体" w:cs="Times New Roman"/>
                <w:b/>
                <w:bCs/>
                <w:color w:val="auto"/>
                <w:kern w:val="0"/>
                <w:sz w:val="18"/>
                <w:szCs w:val="18"/>
              </w:rPr>
              <w:t>医疗废物焚烧污染控制标准</w:t>
            </w:r>
          </w:p>
          <w:p>
            <w:pPr>
              <w:widowControl/>
              <w:adjustRightInd w:val="0"/>
              <w:snapToGrid w:val="0"/>
              <w:jc w:val="center"/>
              <w:rPr>
                <w:rFonts w:ascii="Times New Roman" w:hAnsi="Times New Roman" w:eastAsia="宋体" w:cs="Times New Roman"/>
                <w:b/>
                <w:bCs/>
                <w:color w:val="auto"/>
                <w:kern w:val="0"/>
                <w:sz w:val="18"/>
                <w:szCs w:val="18"/>
              </w:rPr>
            </w:pPr>
            <w:r>
              <w:rPr>
                <w:rFonts w:ascii="Times New Roman" w:hAnsi="Times New Roman" w:eastAsia="宋体" w:cs="Times New Roman"/>
                <w:b/>
                <w:bCs/>
                <w:color w:val="auto"/>
                <w:kern w:val="0"/>
                <w:sz w:val="18"/>
                <w:szCs w:val="18"/>
              </w:rPr>
              <w:t>DB 13/2698-2018</w:t>
            </w:r>
          </w:p>
        </w:tc>
        <w:tc>
          <w:tcPr>
            <w:tcW w:w="1595" w:type="dxa"/>
            <w:tcBorders>
              <w:top w:val="single" w:color="auto" w:sz="4" w:space="0"/>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
                <w:bCs/>
                <w:color w:val="auto"/>
                <w:kern w:val="0"/>
                <w:sz w:val="18"/>
                <w:szCs w:val="18"/>
              </w:rPr>
            </w:pPr>
            <w:r>
              <w:rPr>
                <w:rFonts w:hint="eastAsia" w:ascii="Times New Roman" w:hAnsi="Times New Roman" w:eastAsia="宋体" w:cs="Times New Roman"/>
                <w:b/>
                <w:bCs/>
                <w:color w:val="auto"/>
                <w:kern w:val="0"/>
                <w:sz w:val="18"/>
                <w:szCs w:val="18"/>
              </w:rPr>
              <w:t>海南省危险废物焚烧污染控制标准（征求意见稿）</w:t>
            </w:r>
          </w:p>
          <w:p>
            <w:pPr>
              <w:widowControl/>
              <w:adjustRightInd w:val="0"/>
              <w:snapToGrid w:val="0"/>
              <w:jc w:val="center"/>
              <w:rPr>
                <w:rFonts w:ascii="Times New Roman" w:hAnsi="Times New Roman" w:eastAsia="宋体" w:cs="Times New Roman"/>
                <w:b/>
                <w:bCs/>
                <w:color w:val="auto"/>
                <w:kern w:val="0"/>
                <w:sz w:val="18"/>
                <w:szCs w:val="18"/>
              </w:rPr>
            </w:pPr>
            <w:r>
              <w:rPr>
                <w:rFonts w:hint="eastAsia" w:ascii="Times New Roman" w:hAnsi="Times New Roman" w:eastAsia="宋体" w:cs="Times New Roman"/>
                <w:b/>
                <w:bCs/>
                <w:color w:val="auto"/>
                <w:kern w:val="0"/>
                <w:sz w:val="18"/>
                <w:szCs w:val="18"/>
              </w:rPr>
              <w:t>《关于新建扩建危险废物焚烧处置设施污染物</w:t>
            </w:r>
            <w:r>
              <w:rPr>
                <w:rFonts w:ascii="Times New Roman" w:hAnsi="Times New Roman" w:eastAsia="宋体" w:cs="Times New Roman"/>
                <w:b/>
                <w:bCs/>
                <w:color w:val="auto"/>
                <w:kern w:val="0"/>
                <w:sz w:val="18"/>
                <w:szCs w:val="18"/>
              </w:rPr>
              <w:t xml:space="preserve"> </w:t>
            </w:r>
            <w:r>
              <w:rPr>
                <w:rFonts w:hint="eastAsia" w:ascii="Times New Roman" w:hAnsi="Times New Roman" w:eastAsia="宋体" w:cs="Times New Roman"/>
                <w:b/>
                <w:bCs/>
                <w:color w:val="auto"/>
                <w:kern w:val="0"/>
                <w:sz w:val="18"/>
                <w:szCs w:val="18"/>
              </w:rPr>
              <w:t>排放执行标准意见的通知》琼环土字〔</w:t>
            </w:r>
            <w:r>
              <w:rPr>
                <w:rFonts w:ascii="Times New Roman" w:hAnsi="Times New Roman" w:eastAsia="宋体" w:cs="Times New Roman"/>
                <w:b/>
                <w:bCs/>
                <w:color w:val="auto"/>
                <w:kern w:val="0"/>
                <w:sz w:val="18"/>
                <w:szCs w:val="18"/>
              </w:rPr>
              <w:t>2021</w:t>
            </w:r>
            <w:r>
              <w:rPr>
                <w:rFonts w:hint="eastAsia" w:ascii="Times New Roman" w:hAnsi="Times New Roman" w:eastAsia="宋体" w:cs="Times New Roman"/>
                <w:b/>
                <w:bCs/>
                <w:color w:val="auto"/>
                <w:kern w:val="0"/>
                <w:sz w:val="18"/>
                <w:szCs w:val="18"/>
              </w:rPr>
              <w:t>〕</w:t>
            </w:r>
            <w:r>
              <w:rPr>
                <w:rFonts w:ascii="Times New Roman" w:hAnsi="Times New Roman" w:eastAsia="宋体" w:cs="Times New Roman"/>
                <w:b/>
                <w:bCs/>
                <w:color w:val="auto"/>
                <w:kern w:val="0"/>
                <w:sz w:val="18"/>
                <w:szCs w:val="18"/>
              </w:rPr>
              <w:t>1</w:t>
            </w:r>
            <w:r>
              <w:rPr>
                <w:rFonts w:hint="eastAsia" w:ascii="Times New Roman" w:hAnsi="Times New Roman" w:eastAsia="宋体" w:cs="Times New Roman"/>
                <w:b/>
                <w:bCs/>
                <w:color w:val="auto"/>
                <w:kern w:val="0"/>
                <w:sz w:val="18"/>
                <w:szCs w:val="18"/>
              </w:rPr>
              <w:t>号</w:t>
            </w:r>
          </w:p>
        </w:tc>
        <w:tc>
          <w:tcPr>
            <w:tcW w:w="1055" w:type="dxa"/>
            <w:tcBorders>
              <w:top w:val="single" w:color="auto" w:sz="4" w:space="0"/>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
                <w:bCs/>
                <w:color w:val="auto"/>
                <w:kern w:val="0"/>
                <w:sz w:val="18"/>
                <w:szCs w:val="18"/>
              </w:rPr>
            </w:pPr>
            <w:r>
              <w:rPr>
                <w:rFonts w:hint="eastAsia" w:ascii="Times New Roman" w:hAnsi="Times New Roman" w:eastAsia="宋体" w:cs="Times New Roman"/>
                <w:b/>
                <w:bCs/>
                <w:color w:val="auto"/>
                <w:kern w:val="0"/>
                <w:sz w:val="18"/>
                <w:szCs w:val="18"/>
              </w:rPr>
              <w:t>欧盟工业排放指令</w:t>
            </w:r>
          </w:p>
          <w:p>
            <w:pPr>
              <w:widowControl/>
              <w:adjustRightInd w:val="0"/>
              <w:snapToGrid w:val="0"/>
              <w:jc w:val="center"/>
              <w:rPr>
                <w:rFonts w:hint="eastAsia" w:ascii="Times New Roman" w:hAnsi="Times New Roman" w:eastAsia="宋体" w:cs="Times New Roman"/>
                <w:b/>
                <w:bCs/>
                <w:color w:val="auto"/>
                <w:kern w:val="0"/>
                <w:sz w:val="18"/>
                <w:szCs w:val="18"/>
              </w:rPr>
            </w:pPr>
            <w:r>
              <w:rPr>
                <w:rFonts w:ascii="Times New Roman" w:hAnsi="Times New Roman" w:eastAsia="宋体" w:cs="Times New Roman"/>
                <w:b/>
                <w:bCs/>
                <w:color w:val="auto"/>
                <w:kern w:val="0"/>
                <w:sz w:val="18"/>
                <w:szCs w:val="18"/>
              </w:rPr>
              <w:t>2010/75/EU</w:t>
            </w:r>
          </w:p>
        </w:tc>
        <w:tc>
          <w:tcPr>
            <w:tcW w:w="1055" w:type="dxa"/>
            <w:tcBorders>
              <w:top w:val="single" w:color="auto" w:sz="4" w:space="0"/>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
                <w:bCs/>
                <w:color w:val="auto"/>
                <w:kern w:val="0"/>
                <w:sz w:val="18"/>
                <w:szCs w:val="18"/>
              </w:rPr>
            </w:pPr>
            <w:r>
              <w:rPr>
                <w:rFonts w:hint="eastAsia" w:ascii="Times New Roman" w:hAnsi="Times New Roman" w:eastAsia="宋体" w:cs="Times New Roman"/>
                <w:b/>
                <w:bCs/>
                <w:color w:val="auto"/>
                <w:kern w:val="0"/>
                <w:sz w:val="18"/>
                <w:szCs w:val="18"/>
              </w:rPr>
              <w:t>美国</w:t>
            </w:r>
            <w:r>
              <w:rPr>
                <w:rFonts w:ascii="Times New Roman" w:hAnsi="Times New Roman" w:eastAsia="宋体" w:cs="Times New Roman"/>
                <w:b/>
                <w:bCs/>
                <w:color w:val="auto"/>
                <w:kern w:val="0"/>
                <w:sz w:val="18"/>
                <w:szCs w:val="18"/>
              </w:rPr>
              <w:t>HIMAWI</w:t>
            </w:r>
          </w:p>
        </w:tc>
      </w:tr>
      <w:tr>
        <w:tblPrEx>
          <w:tblCellMar>
            <w:top w:w="0" w:type="dxa"/>
            <w:left w:w="108" w:type="dxa"/>
            <w:bottom w:w="0" w:type="dxa"/>
            <w:right w:w="108" w:type="dxa"/>
          </w:tblCellMar>
        </w:tblPrEx>
        <w:trPr>
          <w:trHeight w:val="413" w:hRule="atLeast"/>
          <w:jc w:val="center"/>
        </w:trPr>
        <w:tc>
          <w:tcPr>
            <w:tcW w:w="2865" w:type="dxa"/>
            <w:vMerge w:val="continue"/>
            <w:tcBorders>
              <w:top w:val="single" w:color="auto" w:sz="4" w:space="0"/>
              <w:left w:val="single" w:color="auto" w:sz="4" w:space="0"/>
              <w:bottom w:val="single" w:color="000000" w:sz="4" w:space="0"/>
              <w:right w:val="single" w:color="auto" w:sz="4" w:space="0"/>
            </w:tcBorders>
            <w:vAlign w:val="center"/>
          </w:tcPr>
          <w:p>
            <w:pPr>
              <w:widowControl/>
              <w:adjustRightInd w:val="0"/>
              <w:snapToGrid w:val="0"/>
              <w:jc w:val="left"/>
              <w:rPr>
                <w:rFonts w:ascii="Times New Roman" w:hAnsi="Times New Roman" w:eastAsia="宋体" w:cs="Times New Roman"/>
                <w:b/>
                <w:bCs/>
                <w:color w:val="auto"/>
                <w:kern w:val="0"/>
                <w:sz w:val="18"/>
                <w:szCs w:val="18"/>
              </w:rPr>
            </w:pPr>
          </w:p>
        </w:tc>
        <w:tc>
          <w:tcPr>
            <w:tcW w:w="1006" w:type="dxa"/>
            <w:vMerge w:val="continue"/>
            <w:tcBorders>
              <w:top w:val="single" w:color="auto" w:sz="4" w:space="0"/>
              <w:left w:val="single" w:color="auto" w:sz="4" w:space="0"/>
              <w:bottom w:val="single" w:color="000000" w:sz="4" w:space="0"/>
              <w:right w:val="single" w:color="auto" w:sz="4" w:space="0"/>
            </w:tcBorders>
            <w:vAlign w:val="center"/>
          </w:tcPr>
          <w:p>
            <w:pPr>
              <w:widowControl/>
              <w:adjustRightInd w:val="0"/>
              <w:snapToGrid w:val="0"/>
              <w:jc w:val="left"/>
              <w:rPr>
                <w:rFonts w:ascii="Times New Roman" w:hAnsi="Times New Roman" w:eastAsia="宋体" w:cs="Times New Roman"/>
                <w:b/>
                <w:bCs/>
                <w:color w:val="auto"/>
                <w:kern w:val="0"/>
                <w:sz w:val="18"/>
                <w:szCs w:val="18"/>
              </w:rPr>
            </w:pPr>
          </w:p>
        </w:tc>
        <w:tc>
          <w:tcPr>
            <w:tcW w:w="1625" w:type="dxa"/>
            <w:tcBorders>
              <w:top w:val="single" w:color="auto" w:sz="4" w:space="0"/>
              <w:left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
                <w:bCs/>
                <w:color w:val="auto"/>
                <w:kern w:val="0"/>
                <w:sz w:val="18"/>
                <w:szCs w:val="18"/>
              </w:rPr>
            </w:pPr>
            <w:r>
              <w:rPr>
                <w:rFonts w:ascii="Times New Roman" w:hAnsi="Times New Roman" w:eastAsia="宋体" w:cs="Times New Roman"/>
                <w:b/>
                <w:bCs/>
                <w:color w:val="auto"/>
                <w:kern w:val="0"/>
                <w:sz w:val="18"/>
                <w:szCs w:val="18"/>
              </w:rPr>
              <w:t>日均值</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
                <w:bCs/>
                <w:color w:val="auto"/>
                <w:kern w:val="0"/>
                <w:sz w:val="18"/>
                <w:szCs w:val="18"/>
              </w:rPr>
            </w:pPr>
            <w:r>
              <w:rPr>
                <w:rFonts w:hint="eastAsia" w:ascii="Times New Roman" w:hAnsi="Times New Roman" w:eastAsia="宋体" w:cs="Times New Roman"/>
                <w:b/>
                <w:bCs/>
                <w:color w:val="auto"/>
                <w:kern w:val="0"/>
                <w:sz w:val="18"/>
                <w:szCs w:val="18"/>
              </w:rPr>
              <w:t>小时均值</w:t>
            </w:r>
          </w:p>
        </w:tc>
        <w:tc>
          <w:tcPr>
            <w:tcW w:w="1628" w:type="dxa"/>
            <w:tcBorders>
              <w:top w:val="nil"/>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
                <w:bCs/>
                <w:color w:val="auto"/>
                <w:kern w:val="0"/>
                <w:sz w:val="18"/>
                <w:szCs w:val="18"/>
              </w:rPr>
            </w:pPr>
            <w:r>
              <w:rPr>
                <w:rFonts w:hint="eastAsia" w:ascii="Times New Roman" w:hAnsi="Times New Roman" w:eastAsia="宋体" w:cs="Times New Roman"/>
                <w:b/>
                <w:bCs/>
                <w:color w:val="auto"/>
                <w:kern w:val="0"/>
                <w:sz w:val="18"/>
                <w:szCs w:val="18"/>
              </w:rPr>
              <w:t>日均值</w:t>
            </w:r>
          </w:p>
        </w:tc>
        <w:tc>
          <w:tcPr>
            <w:tcW w:w="1465" w:type="dxa"/>
            <w:tcBorders>
              <w:top w:val="nil"/>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
                <w:bCs/>
                <w:color w:val="auto"/>
                <w:kern w:val="0"/>
                <w:sz w:val="18"/>
                <w:szCs w:val="18"/>
              </w:rPr>
            </w:pPr>
            <w:r>
              <w:rPr>
                <w:rFonts w:hint="eastAsia" w:ascii="Times New Roman" w:hAnsi="Times New Roman" w:eastAsia="宋体" w:cs="Times New Roman"/>
                <w:b/>
                <w:bCs/>
                <w:color w:val="auto"/>
                <w:kern w:val="0"/>
                <w:sz w:val="18"/>
                <w:szCs w:val="18"/>
              </w:rPr>
              <w:t>日均值</w:t>
            </w:r>
          </w:p>
        </w:tc>
        <w:tc>
          <w:tcPr>
            <w:tcW w:w="1595" w:type="dxa"/>
            <w:tcBorders>
              <w:top w:val="nil"/>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
                <w:bCs/>
                <w:color w:val="auto"/>
                <w:kern w:val="0"/>
                <w:sz w:val="18"/>
                <w:szCs w:val="18"/>
              </w:rPr>
            </w:pPr>
            <w:r>
              <w:rPr>
                <w:rFonts w:hint="eastAsia" w:ascii="Times New Roman" w:hAnsi="Times New Roman" w:eastAsia="宋体" w:cs="Times New Roman"/>
                <w:b/>
                <w:bCs/>
                <w:color w:val="auto"/>
                <w:kern w:val="0"/>
                <w:sz w:val="18"/>
                <w:szCs w:val="18"/>
              </w:rPr>
              <w:t>日均值</w:t>
            </w:r>
          </w:p>
        </w:tc>
        <w:tc>
          <w:tcPr>
            <w:tcW w:w="1055" w:type="dxa"/>
            <w:tcBorders>
              <w:top w:val="nil"/>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hint="eastAsia" w:ascii="Times New Roman" w:hAnsi="Times New Roman" w:eastAsia="宋体" w:cs="Times New Roman"/>
                <w:b/>
                <w:bCs/>
                <w:color w:val="auto"/>
                <w:kern w:val="0"/>
                <w:sz w:val="18"/>
                <w:szCs w:val="18"/>
              </w:rPr>
            </w:pPr>
            <w:r>
              <w:rPr>
                <w:rFonts w:hint="eastAsia" w:ascii="Times New Roman" w:hAnsi="Times New Roman" w:eastAsia="宋体" w:cs="Times New Roman"/>
                <w:b/>
                <w:bCs/>
                <w:color w:val="auto"/>
                <w:kern w:val="0"/>
                <w:sz w:val="18"/>
                <w:szCs w:val="18"/>
              </w:rPr>
              <w:t>日均值</w:t>
            </w:r>
          </w:p>
        </w:tc>
        <w:tc>
          <w:tcPr>
            <w:tcW w:w="1055" w:type="dxa"/>
            <w:tcBorders>
              <w:top w:val="nil"/>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hint="eastAsia" w:ascii="Times New Roman" w:hAnsi="Times New Roman" w:eastAsia="宋体" w:cs="Times New Roman"/>
                <w:b/>
                <w:bCs/>
                <w:color w:val="auto"/>
                <w:kern w:val="0"/>
                <w:sz w:val="18"/>
                <w:szCs w:val="18"/>
              </w:rPr>
            </w:pPr>
            <w:r>
              <w:rPr>
                <w:rFonts w:hint="eastAsia" w:ascii="Times New Roman" w:hAnsi="Times New Roman" w:eastAsia="宋体" w:cs="Times New Roman"/>
                <w:b/>
                <w:bCs/>
                <w:color w:val="auto"/>
                <w:kern w:val="0"/>
                <w:sz w:val="18"/>
                <w:szCs w:val="18"/>
              </w:rPr>
              <w:t>测定均值</w:t>
            </w:r>
          </w:p>
        </w:tc>
      </w:tr>
      <w:tr>
        <w:tblPrEx>
          <w:tblCellMar>
            <w:top w:w="0" w:type="dxa"/>
            <w:left w:w="108" w:type="dxa"/>
            <w:bottom w:w="0" w:type="dxa"/>
            <w:right w:w="108" w:type="dxa"/>
          </w:tblCellMar>
        </w:tblPrEx>
        <w:trPr>
          <w:trHeight w:val="480" w:hRule="atLeast"/>
          <w:jc w:val="center"/>
        </w:trPr>
        <w:tc>
          <w:tcPr>
            <w:tcW w:w="2865" w:type="dxa"/>
            <w:tcBorders>
              <w:top w:val="nil"/>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hint="eastAsia" w:ascii="Times New Roman" w:hAnsi="Times New Roman" w:eastAsia="宋体" w:cs="Times New Roman"/>
                <w:color w:val="auto"/>
                <w:kern w:val="0"/>
                <w:sz w:val="18"/>
                <w:szCs w:val="18"/>
              </w:rPr>
              <w:t>烟气黑度</w:t>
            </w:r>
          </w:p>
        </w:tc>
        <w:tc>
          <w:tcPr>
            <w:tcW w:w="1006"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hint="eastAsia" w:ascii="Times New Roman" w:hAnsi="Times New Roman" w:eastAsia="宋体" w:cs="Times New Roman"/>
                <w:color w:val="auto"/>
                <w:kern w:val="0"/>
                <w:sz w:val="18"/>
                <w:szCs w:val="18"/>
              </w:rPr>
              <w:t>林格曼黑度，级</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1</w:t>
            </w:r>
            <w:r>
              <w:rPr>
                <w:rFonts w:hint="eastAsia" w:ascii="Times New Roman" w:hAnsi="Times New Roman" w:eastAsia="宋体" w:cs="Times New Roman"/>
                <w:color w:val="auto"/>
                <w:kern w:val="0"/>
                <w:sz w:val="18"/>
                <w:szCs w:val="18"/>
              </w:rPr>
              <w:t>（测定值）</w:t>
            </w:r>
          </w:p>
        </w:tc>
        <w:tc>
          <w:tcPr>
            <w:tcW w:w="1628"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46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1</w:t>
            </w:r>
            <w:r>
              <w:rPr>
                <w:rFonts w:hint="eastAsia" w:ascii="Times New Roman" w:hAnsi="Times New Roman" w:eastAsia="宋体" w:cs="Times New Roman"/>
                <w:color w:val="auto"/>
                <w:kern w:val="0"/>
                <w:sz w:val="18"/>
                <w:szCs w:val="18"/>
              </w:rPr>
              <w:t>（测定值）</w:t>
            </w:r>
          </w:p>
        </w:tc>
        <w:tc>
          <w:tcPr>
            <w:tcW w:w="159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Cs/>
                <w:color w:val="auto"/>
                <w:kern w:val="0"/>
                <w:sz w:val="18"/>
                <w:szCs w:val="18"/>
              </w:rPr>
            </w:pPr>
            <w:r>
              <w:rPr>
                <w:rFonts w:ascii="Times New Roman" w:hAnsi="Times New Roman" w:eastAsia="宋体" w:cs="Times New Roman"/>
                <w:color w:val="auto"/>
                <w:kern w:val="0"/>
                <w:sz w:val="18"/>
                <w:szCs w:val="18"/>
              </w:rPr>
              <w:t>—</w:t>
            </w:r>
          </w:p>
        </w:tc>
        <w:tc>
          <w:tcPr>
            <w:tcW w:w="105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05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r>
      <w:tr>
        <w:tblPrEx>
          <w:tblCellMar>
            <w:top w:w="0" w:type="dxa"/>
            <w:left w:w="108" w:type="dxa"/>
            <w:bottom w:w="0" w:type="dxa"/>
            <w:right w:w="108" w:type="dxa"/>
          </w:tblCellMar>
        </w:tblPrEx>
        <w:trPr>
          <w:trHeight w:val="397" w:hRule="exact"/>
          <w:jc w:val="center"/>
        </w:trPr>
        <w:tc>
          <w:tcPr>
            <w:tcW w:w="2865" w:type="dxa"/>
            <w:tcBorders>
              <w:top w:val="nil"/>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hint="eastAsia" w:ascii="Times New Roman" w:hAnsi="Times New Roman" w:eastAsia="宋体" w:cs="Times New Roman"/>
                <w:color w:val="auto"/>
                <w:kern w:val="0"/>
                <w:sz w:val="18"/>
                <w:szCs w:val="18"/>
              </w:rPr>
              <w:t>颗粒物</w:t>
            </w:r>
          </w:p>
        </w:tc>
        <w:tc>
          <w:tcPr>
            <w:tcW w:w="1006"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mg/Nm</w:t>
            </w:r>
            <w:r>
              <w:rPr>
                <w:rFonts w:ascii="Times New Roman" w:hAnsi="Times New Roman" w:eastAsia="宋体" w:cs="Times New Roman"/>
                <w:color w:val="auto"/>
                <w:kern w:val="0"/>
                <w:sz w:val="18"/>
                <w:szCs w:val="18"/>
                <w:vertAlign w:val="superscript"/>
              </w:rPr>
              <w:t>3</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20</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30</w:t>
            </w:r>
          </w:p>
        </w:tc>
        <w:tc>
          <w:tcPr>
            <w:tcW w:w="1628"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20</w:t>
            </w:r>
          </w:p>
        </w:tc>
        <w:tc>
          <w:tcPr>
            <w:tcW w:w="146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20</w:t>
            </w:r>
            <w:r>
              <w:rPr>
                <w:rFonts w:hint="eastAsia" w:ascii="Times New Roman" w:hAnsi="Times New Roman" w:eastAsia="宋体" w:cs="Times New Roman"/>
                <w:color w:val="auto"/>
                <w:kern w:val="0"/>
                <w:sz w:val="18"/>
                <w:szCs w:val="18"/>
              </w:rPr>
              <w:t>（测定均值）</w:t>
            </w:r>
          </w:p>
        </w:tc>
        <w:tc>
          <w:tcPr>
            <w:tcW w:w="159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Cs/>
                <w:color w:val="auto"/>
                <w:kern w:val="0"/>
                <w:sz w:val="18"/>
                <w:szCs w:val="18"/>
              </w:rPr>
            </w:pPr>
            <w:r>
              <w:rPr>
                <w:rFonts w:ascii="Times New Roman" w:hAnsi="Times New Roman" w:eastAsia="宋体" w:cs="Times New Roman"/>
                <w:bCs/>
                <w:color w:val="auto"/>
                <w:kern w:val="0"/>
                <w:sz w:val="18"/>
                <w:szCs w:val="18"/>
              </w:rPr>
              <w:t>8</w:t>
            </w:r>
          </w:p>
        </w:tc>
        <w:tc>
          <w:tcPr>
            <w:tcW w:w="105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Cs/>
                <w:color w:val="auto"/>
                <w:kern w:val="0"/>
                <w:sz w:val="18"/>
                <w:szCs w:val="18"/>
              </w:rPr>
            </w:pPr>
            <w:r>
              <w:rPr>
                <w:rFonts w:ascii="Times New Roman" w:hAnsi="Times New Roman" w:eastAsia="宋体" w:cs="Times New Roman"/>
                <w:color w:val="auto"/>
                <w:kern w:val="0"/>
                <w:sz w:val="18"/>
                <w:szCs w:val="18"/>
              </w:rPr>
              <w:t>10</w:t>
            </w:r>
          </w:p>
        </w:tc>
        <w:tc>
          <w:tcPr>
            <w:tcW w:w="105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bCs/>
                <w:color w:val="auto"/>
                <w:kern w:val="0"/>
                <w:sz w:val="18"/>
                <w:szCs w:val="18"/>
              </w:rPr>
              <w:t>18</w:t>
            </w:r>
          </w:p>
        </w:tc>
      </w:tr>
      <w:tr>
        <w:tblPrEx>
          <w:tblCellMar>
            <w:top w:w="0" w:type="dxa"/>
            <w:left w:w="108" w:type="dxa"/>
            <w:bottom w:w="0" w:type="dxa"/>
            <w:right w:w="108" w:type="dxa"/>
          </w:tblCellMar>
        </w:tblPrEx>
        <w:trPr>
          <w:trHeight w:val="397" w:hRule="atLeast"/>
          <w:jc w:val="center"/>
        </w:trPr>
        <w:tc>
          <w:tcPr>
            <w:tcW w:w="2865" w:type="dxa"/>
            <w:tcBorders>
              <w:top w:val="nil"/>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hint="eastAsia" w:ascii="Times New Roman" w:hAnsi="Times New Roman" w:eastAsia="宋体" w:cs="Times New Roman"/>
                <w:color w:val="auto"/>
                <w:kern w:val="0"/>
                <w:sz w:val="18"/>
                <w:szCs w:val="18"/>
              </w:rPr>
              <w:t>烟气不透光率</w:t>
            </w:r>
          </w:p>
        </w:tc>
        <w:tc>
          <w:tcPr>
            <w:tcW w:w="1006"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10</w:t>
            </w:r>
          </w:p>
        </w:tc>
        <w:tc>
          <w:tcPr>
            <w:tcW w:w="1628"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46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59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Cs/>
                <w:color w:val="auto"/>
                <w:kern w:val="0"/>
                <w:sz w:val="18"/>
                <w:szCs w:val="18"/>
              </w:rPr>
            </w:pPr>
            <w:r>
              <w:rPr>
                <w:rFonts w:ascii="Times New Roman" w:hAnsi="Times New Roman" w:eastAsia="宋体" w:cs="Times New Roman"/>
                <w:color w:val="auto"/>
                <w:kern w:val="0"/>
                <w:sz w:val="18"/>
                <w:szCs w:val="18"/>
              </w:rPr>
              <w:t>—</w:t>
            </w:r>
          </w:p>
        </w:tc>
        <w:tc>
          <w:tcPr>
            <w:tcW w:w="105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05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r>
      <w:tr>
        <w:tblPrEx>
          <w:tblCellMar>
            <w:top w:w="0" w:type="dxa"/>
            <w:left w:w="108" w:type="dxa"/>
            <w:bottom w:w="0" w:type="dxa"/>
            <w:right w:w="108" w:type="dxa"/>
          </w:tblCellMar>
        </w:tblPrEx>
        <w:trPr>
          <w:trHeight w:val="397" w:hRule="atLeast"/>
          <w:jc w:val="center"/>
        </w:trPr>
        <w:tc>
          <w:tcPr>
            <w:tcW w:w="2865" w:type="dxa"/>
            <w:tcBorders>
              <w:top w:val="nil"/>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CO</w:t>
            </w:r>
          </w:p>
        </w:tc>
        <w:tc>
          <w:tcPr>
            <w:tcW w:w="1006"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mg/Nm</w:t>
            </w:r>
            <w:r>
              <w:rPr>
                <w:rFonts w:ascii="Times New Roman" w:hAnsi="Times New Roman" w:eastAsia="宋体" w:cs="Times New Roman"/>
                <w:color w:val="auto"/>
                <w:kern w:val="0"/>
                <w:sz w:val="18"/>
                <w:szCs w:val="18"/>
                <w:vertAlign w:val="superscript"/>
              </w:rPr>
              <w:t>3</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80</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55</w:t>
            </w:r>
          </w:p>
        </w:tc>
        <w:tc>
          <w:tcPr>
            <w:tcW w:w="1628"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50</w:t>
            </w:r>
            <w:r>
              <w:rPr>
                <w:rFonts w:hint="eastAsia" w:ascii="Times New Roman" w:hAnsi="Times New Roman" w:eastAsia="宋体" w:cs="Times New Roman"/>
                <w:color w:val="auto"/>
                <w:kern w:val="0"/>
                <w:sz w:val="18"/>
                <w:szCs w:val="18"/>
              </w:rPr>
              <w:t>（小时均值）</w:t>
            </w:r>
          </w:p>
        </w:tc>
        <w:tc>
          <w:tcPr>
            <w:tcW w:w="146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50</w:t>
            </w:r>
            <w:r>
              <w:rPr>
                <w:rFonts w:hint="eastAsia" w:ascii="Times New Roman" w:hAnsi="Times New Roman" w:eastAsia="宋体" w:cs="Times New Roman"/>
                <w:color w:val="auto"/>
                <w:kern w:val="0"/>
                <w:sz w:val="18"/>
                <w:szCs w:val="18"/>
              </w:rPr>
              <w:t>（小时均值）</w:t>
            </w:r>
          </w:p>
        </w:tc>
        <w:tc>
          <w:tcPr>
            <w:tcW w:w="159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Cs/>
                <w:color w:val="auto"/>
                <w:kern w:val="0"/>
                <w:sz w:val="18"/>
                <w:szCs w:val="18"/>
              </w:rPr>
            </w:pPr>
            <w:r>
              <w:rPr>
                <w:rFonts w:ascii="Times New Roman" w:hAnsi="Times New Roman" w:eastAsia="宋体" w:cs="Times New Roman"/>
                <w:bCs/>
                <w:color w:val="auto"/>
                <w:kern w:val="0"/>
                <w:sz w:val="18"/>
                <w:szCs w:val="18"/>
              </w:rPr>
              <w:t>30</w:t>
            </w:r>
          </w:p>
        </w:tc>
        <w:tc>
          <w:tcPr>
            <w:tcW w:w="105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Cs/>
                <w:color w:val="auto"/>
                <w:kern w:val="0"/>
                <w:sz w:val="18"/>
                <w:szCs w:val="18"/>
              </w:rPr>
            </w:pPr>
            <w:r>
              <w:rPr>
                <w:rFonts w:ascii="Times New Roman" w:hAnsi="Times New Roman" w:eastAsia="宋体" w:cs="Times New Roman"/>
                <w:color w:val="auto"/>
                <w:kern w:val="0"/>
                <w:sz w:val="18"/>
                <w:szCs w:val="18"/>
              </w:rPr>
              <w:t>50</w:t>
            </w:r>
          </w:p>
        </w:tc>
        <w:tc>
          <w:tcPr>
            <w:tcW w:w="105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bCs/>
                <w:color w:val="auto"/>
                <w:kern w:val="0"/>
                <w:sz w:val="18"/>
                <w:szCs w:val="18"/>
              </w:rPr>
              <w:t>10</w:t>
            </w:r>
          </w:p>
        </w:tc>
      </w:tr>
      <w:tr>
        <w:tblPrEx>
          <w:tblCellMar>
            <w:top w:w="0" w:type="dxa"/>
            <w:left w:w="108" w:type="dxa"/>
            <w:bottom w:w="0" w:type="dxa"/>
            <w:right w:w="108" w:type="dxa"/>
          </w:tblCellMar>
        </w:tblPrEx>
        <w:trPr>
          <w:trHeight w:val="397" w:hRule="atLeast"/>
          <w:jc w:val="center"/>
        </w:trPr>
        <w:tc>
          <w:tcPr>
            <w:tcW w:w="2865" w:type="dxa"/>
            <w:tcBorders>
              <w:top w:val="nil"/>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SO</w:t>
            </w:r>
            <w:r>
              <w:rPr>
                <w:rFonts w:ascii="Times New Roman" w:hAnsi="Times New Roman" w:eastAsia="宋体" w:cs="Times New Roman"/>
                <w:color w:val="auto"/>
                <w:kern w:val="0"/>
                <w:sz w:val="18"/>
                <w:szCs w:val="18"/>
                <w:vertAlign w:val="subscript"/>
              </w:rPr>
              <w:t>2</w:t>
            </w:r>
          </w:p>
        </w:tc>
        <w:tc>
          <w:tcPr>
            <w:tcW w:w="1006"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mg/Nm</w:t>
            </w:r>
            <w:r>
              <w:rPr>
                <w:rFonts w:ascii="Times New Roman" w:hAnsi="Times New Roman" w:eastAsia="宋体" w:cs="Times New Roman"/>
                <w:color w:val="auto"/>
                <w:kern w:val="0"/>
                <w:sz w:val="18"/>
                <w:szCs w:val="18"/>
                <w:vertAlign w:val="superscript"/>
              </w:rPr>
              <w:t>3</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80</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200</w:t>
            </w:r>
          </w:p>
        </w:tc>
        <w:tc>
          <w:tcPr>
            <w:tcW w:w="1628"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50</w:t>
            </w:r>
          </w:p>
        </w:tc>
        <w:tc>
          <w:tcPr>
            <w:tcW w:w="146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100</w:t>
            </w:r>
            <w:r>
              <w:rPr>
                <w:rFonts w:hint="eastAsia" w:ascii="Times New Roman" w:hAnsi="Times New Roman" w:eastAsia="宋体" w:cs="Times New Roman"/>
                <w:color w:val="auto"/>
                <w:kern w:val="0"/>
                <w:sz w:val="18"/>
                <w:szCs w:val="18"/>
              </w:rPr>
              <w:t>（小时均值）</w:t>
            </w:r>
          </w:p>
        </w:tc>
        <w:tc>
          <w:tcPr>
            <w:tcW w:w="159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Cs/>
                <w:color w:val="auto"/>
                <w:kern w:val="0"/>
                <w:sz w:val="18"/>
                <w:szCs w:val="18"/>
              </w:rPr>
            </w:pPr>
            <w:r>
              <w:rPr>
                <w:rFonts w:ascii="Times New Roman" w:hAnsi="Times New Roman" w:eastAsia="宋体" w:cs="Times New Roman"/>
                <w:bCs/>
                <w:color w:val="auto"/>
                <w:kern w:val="0"/>
                <w:sz w:val="18"/>
                <w:szCs w:val="18"/>
              </w:rPr>
              <w:t>20</w:t>
            </w:r>
          </w:p>
        </w:tc>
        <w:tc>
          <w:tcPr>
            <w:tcW w:w="105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Cs/>
                <w:color w:val="auto"/>
                <w:kern w:val="0"/>
                <w:sz w:val="18"/>
                <w:szCs w:val="18"/>
              </w:rPr>
            </w:pPr>
            <w:r>
              <w:rPr>
                <w:rFonts w:ascii="Times New Roman" w:hAnsi="Times New Roman" w:eastAsia="宋体" w:cs="Times New Roman"/>
                <w:color w:val="auto"/>
                <w:kern w:val="0"/>
                <w:sz w:val="18"/>
                <w:szCs w:val="18"/>
              </w:rPr>
              <w:t>50</w:t>
            </w:r>
          </w:p>
        </w:tc>
        <w:tc>
          <w:tcPr>
            <w:tcW w:w="105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bCs/>
                <w:color w:val="auto"/>
                <w:kern w:val="0"/>
                <w:sz w:val="18"/>
                <w:szCs w:val="18"/>
              </w:rPr>
              <w:t>18.4</w:t>
            </w:r>
          </w:p>
        </w:tc>
      </w:tr>
      <w:tr>
        <w:tblPrEx>
          <w:tblCellMar>
            <w:top w:w="0" w:type="dxa"/>
            <w:left w:w="108" w:type="dxa"/>
            <w:bottom w:w="0" w:type="dxa"/>
            <w:right w:w="108" w:type="dxa"/>
          </w:tblCellMar>
        </w:tblPrEx>
        <w:trPr>
          <w:trHeight w:val="397" w:hRule="atLeast"/>
          <w:jc w:val="center"/>
        </w:trPr>
        <w:tc>
          <w:tcPr>
            <w:tcW w:w="2865" w:type="dxa"/>
            <w:tcBorders>
              <w:top w:val="nil"/>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NO</w:t>
            </w:r>
            <w:r>
              <w:rPr>
                <w:rFonts w:ascii="Times New Roman" w:hAnsi="Times New Roman" w:eastAsia="宋体" w:cs="Times New Roman"/>
                <w:color w:val="auto"/>
                <w:kern w:val="0"/>
                <w:sz w:val="18"/>
                <w:szCs w:val="18"/>
                <w:vertAlign w:val="subscript"/>
              </w:rPr>
              <w:t>X</w:t>
            </w:r>
          </w:p>
        </w:tc>
        <w:tc>
          <w:tcPr>
            <w:tcW w:w="1006"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mg/Nm</w:t>
            </w:r>
            <w:r>
              <w:rPr>
                <w:rFonts w:ascii="Times New Roman" w:hAnsi="Times New Roman" w:eastAsia="宋体" w:cs="Times New Roman"/>
                <w:color w:val="auto"/>
                <w:kern w:val="0"/>
                <w:sz w:val="18"/>
                <w:szCs w:val="18"/>
                <w:vertAlign w:val="superscript"/>
              </w:rPr>
              <w:t>3</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250</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500</w:t>
            </w:r>
          </w:p>
        </w:tc>
        <w:tc>
          <w:tcPr>
            <w:tcW w:w="1628"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250</w:t>
            </w:r>
          </w:p>
        </w:tc>
        <w:tc>
          <w:tcPr>
            <w:tcW w:w="146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400</w:t>
            </w:r>
            <w:r>
              <w:rPr>
                <w:rFonts w:hint="eastAsia" w:ascii="Times New Roman" w:hAnsi="Times New Roman" w:eastAsia="宋体" w:cs="Times New Roman"/>
                <w:color w:val="auto"/>
                <w:kern w:val="0"/>
                <w:sz w:val="18"/>
                <w:szCs w:val="18"/>
              </w:rPr>
              <w:t>（小时均值）</w:t>
            </w:r>
          </w:p>
        </w:tc>
        <w:tc>
          <w:tcPr>
            <w:tcW w:w="159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Cs/>
                <w:color w:val="auto"/>
                <w:kern w:val="0"/>
                <w:sz w:val="18"/>
                <w:szCs w:val="18"/>
              </w:rPr>
            </w:pPr>
            <w:r>
              <w:rPr>
                <w:rFonts w:ascii="Times New Roman" w:hAnsi="Times New Roman" w:eastAsia="宋体" w:cs="Times New Roman"/>
                <w:bCs/>
                <w:color w:val="auto"/>
                <w:kern w:val="0"/>
                <w:sz w:val="18"/>
                <w:szCs w:val="18"/>
              </w:rPr>
              <w:t>200</w:t>
            </w:r>
          </w:p>
        </w:tc>
        <w:tc>
          <w:tcPr>
            <w:tcW w:w="105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Cs/>
                <w:color w:val="auto"/>
                <w:kern w:val="0"/>
                <w:sz w:val="18"/>
                <w:szCs w:val="18"/>
              </w:rPr>
            </w:pPr>
            <w:r>
              <w:rPr>
                <w:rFonts w:ascii="Times New Roman" w:hAnsi="Times New Roman" w:eastAsia="宋体" w:cs="Times New Roman"/>
                <w:color w:val="auto"/>
                <w:kern w:val="0"/>
                <w:sz w:val="18"/>
                <w:szCs w:val="18"/>
              </w:rPr>
              <w:t>200(&gt;6t/h)</w:t>
            </w:r>
            <w:r>
              <w:rPr>
                <w:rFonts w:ascii="Times New Roman" w:hAnsi="Times New Roman" w:eastAsia="宋体" w:cs="Times New Roman"/>
                <w:color w:val="auto"/>
                <w:kern w:val="0"/>
                <w:sz w:val="18"/>
                <w:szCs w:val="18"/>
              </w:rPr>
              <w:br w:type="textWrapping"/>
            </w:r>
            <w:r>
              <w:rPr>
                <w:rFonts w:ascii="Times New Roman" w:hAnsi="Times New Roman" w:eastAsia="宋体" w:cs="Times New Roman"/>
                <w:color w:val="auto"/>
                <w:kern w:val="0"/>
                <w:sz w:val="18"/>
                <w:szCs w:val="18"/>
              </w:rPr>
              <w:t>400(&lt;6t/h)</w:t>
            </w:r>
          </w:p>
        </w:tc>
        <w:tc>
          <w:tcPr>
            <w:tcW w:w="105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bCs/>
                <w:color w:val="auto"/>
                <w:kern w:val="0"/>
                <w:sz w:val="18"/>
                <w:szCs w:val="18"/>
              </w:rPr>
              <w:t>205.4</w:t>
            </w:r>
          </w:p>
        </w:tc>
      </w:tr>
      <w:tr>
        <w:tblPrEx>
          <w:tblCellMar>
            <w:top w:w="0" w:type="dxa"/>
            <w:left w:w="108" w:type="dxa"/>
            <w:bottom w:w="0" w:type="dxa"/>
            <w:right w:w="108" w:type="dxa"/>
          </w:tblCellMar>
        </w:tblPrEx>
        <w:trPr>
          <w:trHeight w:val="397" w:hRule="atLeast"/>
          <w:jc w:val="center"/>
        </w:trPr>
        <w:tc>
          <w:tcPr>
            <w:tcW w:w="2865" w:type="dxa"/>
            <w:tcBorders>
              <w:top w:val="nil"/>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HCl</w:t>
            </w:r>
          </w:p>
        </w:tc>
        <w:tc>
          <w:tcPr>
            <w:tcW w:w="1006"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bookmarkStart w:id="121" w:name="_Hlk109295837"/>
            <w:r>
              <w:rPr>
                <w:rFonts w:ascii="Times New Roman" w:hAnsi="Times New Roman" w:eastAsia="宋体" w:cs="Times New Roman"/>
                <w:color w:val="auto"/>
                <w:kern w:val="0"/>
                <w:sz w:val="18"/>
                <w:szCs w:val="18"/>
              </w:rPr>
              <w:t>mg/Nm</w:t>
            </w:r>
            <w:r>
              <w:rPr>
                <w:rFonts w:ascii="Times New Roman" w:hAnsi="Times New Roman" w:eastAsia="宋体" w:cs="Times New Roman"/>
                <w:color w:val="auto"/>
                <w:kern w:val="0"/>
                <w:sz w:val="18"/>
                <w:szCs w:val="18"/>
                <w:vertAlign w:val="superscript"/>
              </w:rPr>
              <w:t>3</w:t>
            </w:r>
            <w:bookmarkEnd w:id="121"/>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50</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60</w:t>
            </w:r>
          </w:p>
        </w:tc>
        <w:tc>
          <w:tcPr>
            <w:tcW w:w="1628"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10</w:t>
            </w:r>
          </w:p>
        </w:tc>
        <w:tc>
          <w:tcPr>
            <w:tcW w:w="146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50</w:t>
            </w:r>
            <w:r>
              <w:rPr>
                <w:rFonts w:hint="eastAsia" w:ascii="Times New Roman" w:hAnsi="Times New Roman" w:eastAsia="宋体" w:cs="Times New Roman"/>
                <w:color w:val="auto"/>
                <w:kern w:val="0"/>
                <w:sz w:val="18"/>
                <w:szCs w:val="18"/>
              </w:rPr>
              <w:t>（小时均值）</w:t>
            </w:r>
          </w:p>
        </w:tc>
        <w:tc>
          <w:tcPr>
            <w:tcW w:w="159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Cs/>
                <w:color w:val="auto"/>
                <w:kern w:val="0"/>
                <w:sz w:val="18"/>
                <w:szCs w:val="18"/>
              </w:rPr>
            </w:pPr>
            <w:r>
              <w:rPr>
                <w:rFonts w:ascii="Times New Roman" w:hAnsi="Times New Roman" w:eastAsia="宋体" w:cs="Times New Roman"/>
                <w:bCs/>
                <w:color w:val="auto"/>
                <w:kern w:val="0"/>
                <w:sz w:val="18"/>
                <w:szCs w:val="18"/>
              </w:rPr>
              <w:t>8</w:t>
            </w:r>
          </w:p>
        </w:tc>
        <w:tc>
          <w:tcPr>
            <w:tcW w:w="105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Cs/>
                <w:color w:val="auto"/>
                <w:kern w:val="0"/>
                <w:sz w:val="18"/>
                <w:szCs w:val="18"/>
              </w:rPr>
            </w:pPr>
            <w:r>
              <w:rPr>
                <w:rFonts w:ascii="Times New Roman" w:hAnsi="Times New Roman" w:eastAsia="宋体" w:cs="Times New Roman"/>
                <w:color w:val="auto"/>
                <w:kern w:val="0"/>
                <w:sz w:val="18"/>
                <w:szCs w:val="18"/>
              </w:rPr>
              <w:t>10</w:t>
            </w:r>
          </w:p>
        </w:tc>
        <w:tc>
          <w:tcPr>
            <w:tcW w:w="105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bCs/>
                <w:color w:val="auto"/>
                <w:kern w:val="0"/>
                <w:sz w:val="18"/>
                <w:szCs w:val="18"/>
              </w:rPr>
              <w:t>7.7</w:t>
            </w:r>
          </w:p>
        </w:tc>
      </w:tr>
      <w:tr>
        <w:tblPrEx>
          <w:tblCellMar>
            <w:top w:w="0" w:type="dxa"/>
            <w:left w:w="108" w:type="dxa"/>
            <w:bottom w:w="0" w:type="dxa"/>
            <w:right w:w="108" w:type="dxa"/>
          </w:tblCellMar>
        </w:tblPrEx>
        <w:trPr>
          <w:trHeight w:val="397" w:hRule="atLeast"/>
          <w:jc w:val="center"/>
        </w:trPr>
        <w:tc>
          <w:tcPr>
            <w:tcW w:w="2865" w:type="dxa"/>
            <w:tcBorders>
              <w:top w:val="nil"/>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HF</w:t>
            </w:r>
          </w:p>
        </w:tc>
        <w:tc>
          <w:tcPr>
            <w:tcW w:w="1006"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mg/Nm</w:t>
            </w:r>
            <w:r>
              <w:rPr>
                <w:rFonts w:ascii="Times New Roman" w:hAnsi="Times New Roman" w:eastAsia="宋体" w:cs="Times New Roman"/>
                <w:color w:val="auto"/>
                <w:kern w:val="0"/>
                <w:sz w:val="18"/>
                <w:szCs w:val="18"/>
                <w:vertAlign w:val="superscript"/>
              </w:rPr>
              <w:t>3</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2</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4</w:t>
            </w:r>
          </w:p>
        </w:tc>
        <w:tc>
          <w:tcPr>
            <w:tcW w:w="1628"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2</w:t>
            </w:r>
            <w:r>
              <w:rPr>
                <w:rFonts w:hint="eastAsia" w:ascii="Times New Roman" w:hAnsi="Times New Roman" w:eastAsia="宋体" w:cs="Times New Roman"/>
                <w:color w:val="auto"/>
                <w:kern w:val="0"/>
                <w:sz w:val="18"/>
                <w:szCs w:val="18"/>
              </w:rPr>
              <w:t>（测定均值）</w:t>
            </w:r>
          </w:p>
        </w:tc>
        <w:tc>
          <w:tcPr>
            <w:tcW w:w="146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2</w:t>
            </w:r>
            <w:r>
              <w:rPr>
                <w:rFonts w:hint="eastAsia" w:ascii="Times New Roman" w:hAnsi="Times New Roman" w:eastAsia="宋体" w:cs="Times New Roman"/>
                <w:color w:val="auto"/>
                <w:kern w:val="0"/>
                <w:sz w:val="18"/>
                <w:szCs w:val="18"/>
              </w:rPr>
              <w:t>（小时均值）</w:t>
            </w:r>
          </w:p>
        </w:tc>
        <w:tc>
          <w:tcPr>
            <w:tcW w:w="159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Cs/>
                <w:color w:val="auto"/>
                <w:kern w:val="0"/>
                <w:sz w:val="18"/>
                <w:szCs w:val="18"/>
              </w:rPr>
            </w:pPr>
            <w:r>
              <w:rPr>
                <w:rFonts w:ascii="Times New Roman" w:hAnsi="Times New Roman" w:eastAsia="宋体" w:cs="Times New Roman"/>
                <w:bCs/>
                <w:color w:val="auto"/>
                <w:kern w:val="0"/>
                <w:sz w:val="18"/>
                <w:szCs w:val="18"/>
              </w:rPr>
              <w:t>1</w:t>
            </w:r>
          </w:p>
        </w:tc>
        <w:tc>
          <w:tcPr>
            <w:tcW w:w="105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Cs/>
                <w:color w:val="auto"/>
                <w:kern w:val="0"/>
                <w:sz w:val="18"/>
                <w:szCs w:val="18"/>
              </w:rPr>
            </w:pPr>
            <w:r>
              <w:rPr>
                <w:rFonts w:ascii="Times New Roman" w:hAnsi="Times New Roman" w:eastAsia="宋体" w:cs="Times New Roman"/>
                <w:color w:val="auto"/>
                <w:kern w:val="0"/>
                <w:sz w:val="18"/>
                <w:szCs w:val="18"/>
              </w:rPr>
              <w:t>1</w:t>
            </w:r>
          </w:p>
        </w:tc>
        <w:tc>
          <w:tcPr>
            <w:tcW w:w="105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r>
      <w:tr>
        <w:tblPrEx>
          <w:tblCellMar>
            <w:top w:w="0" w:type="dxa"/>
            <w:left w:w="108" w:type="dxa"/>
            <w:bottom w:w="0" w:type="dxa"/>
            <w:right w:w="108" w:type="dxa"/>
          </w:tblCellMar>
        </w:tblPrEx>
        <w:trPr>
          <w:trHeight w:val="397" w:hRule="atLeast"/>
          <w:jc w:val="center"/>
        </w:trPr>
        <w:tc>
          <w:tcPr>
            <w:tcW w:w="2865" w:type="dxa"/>
            <w:tcBorders>
              <w:top w:val="nil"/>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hint="eastAsia" w:ascii="Times New Roman" w:hAnsi="Times New Roman" w:eastAsia="宋体" w:cs="Times New Roman"/>
                <w:color w:val="auto"/>
                <w:kern w:val="0"/>
                <w:sz w:val="18"/>
                <w:szCs w:val="18"/>
              </w:rPr>
              <w:t>氨</w:t>
            </w:r>
          </w:p>
        </w:tc>
        <w:tc>
          <w:tcPr>
            <w:tcW w:w="1006"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mg/Nm</w:t>
            </w:r>
            <w:r>
              <w:rPr>
                <w:rFonts w:ascii="Times New Roman" w:hAnsi="Times New Roman" w:eastAsia="宋体" w:cs="Times New Roman"/>
                <w:color w:val="auto"/>
                <w:kern w:val="0"/>
                <w:sz w:val="18"/>
                <w:szCs w:val="18"/>
                <w:vertAlign w:val="superscript"/>
              </w:rPr>
              <w:t>3</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628"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46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59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Cs/>
                <w:color w:val="auto"/>
                <w:kern w:val="0"/>
                <w:sz w:val="18"/>
                <w:szCs w:val="18"/>
              </w:rPr>
            </w:pPr>
            <w:r>
              <w:rPr>
                <w:rFonts w:ascii="Times New Roman" w:hAnsi="Times New Roman" w:eastAsia="宋体" w:cs="Times New Roman"/>
                <w:color w:val="auto"/>
                <w:kern w:val="0"/>
                <w:sz w:val="18"/>
                <w:szCs w:val="18"/>
              </w:rPr>
              <w:t>—</w:t>
            </w:r>
          </w:p>
        </w:tc>
        <w:tc>
          <w:tcPr>
            <w:tcW w:w="105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05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r>
      <w:tr>
        <w:tblPrEx>
          <w:tblCellMar>
            <w:top w:w="0" w:type="dxa"/>
            <w:left w:w="108" w:type="dxa"/>
            <w:bottom w:w="0" w:type="dxa"/>
            <w:right w:w="108" w:type="dxa"/>
          </w:tblCellMar>
        </w:tblPrEx>
        <w:trPr>
          <w:trHeight w:val="397" w:hRule="atLeast"/>
          <w:jc w:val="center"/>
        </w:trPr>
        <w:tc>
          <w:tcPr>
            <w:tcW w:w="2865" w:type="dxa"/>
            <w:tcBorders>
              <w:top w:val="nil"/>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TOC</w:t>
            </w:r>
          </w:p>
        </w:tc>
        <w:tc>
          <w:tcPr>
            <w:tcW w:w="1006"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mg/Nm</w:t>
            </w:r>
            <w:r>
              <w:rPr>
                <w:rFonts w:ascii="Times New Roman" w:hAnsi="Times New Roman" w:eastAsia="宋体" w:cs="Times New Roman"/>
                <w:color w:val="auto"/>
                <w:kern w:val="0"/>
                <w:sz w:val="18"/>
                <w:szCs w:val="18"/>
                <w:vertAlign w:val="superscript"/>
              </w:rPr>
              <w:t>3</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628"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46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59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Cs/>
                <w:color w:val="auto"/>
                <w:kern w:val="0"/>
                <w:sz w:val="18"/>
                <w:szCs w:val="18"/>
              </w:rPr>
            </w:pPr>
            <w:r>
              <w:rPr>
                <w:rFonts w:ascii="Times New Roman" w:hAnsi="Times New Roman" w:eastAsia="宋体" w:cs="Times New Roman"/>
                <w:color w:val="auto"/>
                <w:kern w:val="0"/>
                <w:sz w:val="18"/>
                <w:szCs w:val="18"/>
              </w:rPr>
              <w:t>—</w:t>
            </w:r>
          </w:p>
        </w:tc>
        <w:tc>
          <w:tcPr>
            <w:tcW w:w="105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10</w:t>
            </w:r>
          </w:p>
        </w:tc>
        <w:tc>
          <w:tcPr>
            <w:tcW w:w="105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r>
      <w:tr>
        <w:tblPrEx>
          <w:tblCellMar>
            <w:top w:w="0" w:type="dxa"/>
            <w:left w:w="108" w:type="dxa"/>
            <w:bottom w:w="0" w:type="dxa"/>
            <w:right w:w="108" w:type="dxa"/>
          </w:tblCellMar>
        </w:tblPrEx>
        <w:trPr>
          <w:trHeight w:val="397" w:hRule="atLeast"/>
          <w:jc w:val="center"/>
        </w:trPr>
        <w:tc>
          <w:tcPr>
            <w:tcW w:w="2865" w:type="dxa"/>
            <w:tcBorders>
              <w:top w:val="nil"/>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hint="eastAsia" w:ascii="Times New Roman" w:hAnsi="Times New Roman" w:eastAsia="宋体" w:cs="Times New Roman"/>
                <w:color w:val="auto"/>
                <w:kern w:val="0"/>
                <w:sz w:val="18"/>
                <w:szCs w:val="18"/>
              </w:rPr>
              <w:t>汞及其化合物</w:t>
            </w:r>
          </w:p>
          <w:p>
            <w:pPr>
              <w:widowControl/>
              <w:adjustRightInd w:val="0"/>
              <w:snapToGrid w:val="0"/>
              <w:jc w:val="center"/>
              <w:rPr>
                <w:rFonts w:ascii="Times New Roman" w:hAnsi="Times New Roman" w:eastAsia="宋体" w:cs="Times New Roman"/>
                <w:color w:val="auto"/>
                <w:kern w:val="0"/>
                <w:sz w:val="18"/>
                <w:szCs w:val="18"/>
              </w:rPr>
            </w:pPr>
            <w:r>
              <w:rPr>
                <w:rFonts w:hint="eastAsia" w:ascii="Times New Roman" w:hAnsi="Times New Roman" w:eastAsia="宋体" w:cs="Times New Roman"/>
                <w:color w:val="auto"/>
                <w:kern w:val="0"/>
                <w:sz w:val="18"/>
                <w:szCs w:val="18"/>
              </w:rPr>
              <w:t>（以</w:t>
            </w:r>
            <w:r>
              <w:rPr>
                <w:rFonts w:ascii="Times New Roman" w:hAnsi="Times New Roman" w:eastAsia="宋体" w:cs="Times New Roman"/>
                <w:color w:val="auto"/>
                <w:kern w:val="0"/>
                <w:sz w:val="18"/>
                <w:szCs w:val="18"/>
              </w:rPr>
              <w:t>Hg</w:t>
            </w:r>
            <w:r>
              <w:rPr>
                <w:rFonts w:hint="eastAsia" w:ascii="Times New Roman" w:hAnsi="Times New Roman" w:eastAsia="宋体" w:cs="Times New Roman"/>
                <w:color w:val="auto"/>
                <w:kern w:val="0"/>
                <w:sz w:val="18"/>
                <w:szCs w:val="18"/>
              </w:rPr>
              <w:t>计）</w:t>
            </w:r>
          </w:p>
        </w:tc>
        <w:tc>
          <w:tcPr>
            <w:tcW w:w="1006"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mg/Nm</w:t>
            </w:r>
            <w:r>
              <w:rPr>
                <w:rFonts w:ascii="Times New Roman" w:hAnsi="Times New Roman" w:eastAsia="宋体" w:cs="Times New Roman"/>
                <w:color w:val="auto"/>
                <w:kern w:val="0"/>
                <w:sz w:val="18"/>
                <w:szCs w:val="18"/>
                <w:vertAlign w:val="superscript"/>
              </w:rPr>
              <w:t>3</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0.05（测定均值）</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0.1</w:t>
            </w:r>
            <w:r>
              <w:rPr>
                <w:rFonts w:hint="eastAsia" w:ascii="Times New Roman" w:hAnsi="Times New Roman" w:eastAsia="宋体" w:cs="Times New Roman"/>
                <w:color w:val="auto"/>
                <w:kern w:val="0"/>
                <w:sz w:val="18"/>
                <w:szCs w:val="18"/>
              </w:rPr>
              <w:t>（测定均值）</w:t>
            </w:r>
          </w:p>
        </w:tc>
        <w:tc>
          <w:tcPr>
            <w:tcW w:w="1628"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0.05</w:t>
            </w:r>
            <w:r>
              <w:rPr>
                <w:rFonts w:hint="eastAsia" w:ascii="Times New Roman" w:hAnsi="Times New Roman" w:eastAsia="宋体" w:cs="Times New Roman"/>
                <w:color w:val="auto"/>
                <w:kern w:val="0"/>
                <w:sz w:val="18"/>
                <w:szCs w:val="18"/>
              </w:rPr>
              <w:t>（测定均值）</w:t>
            </w:r>
          </w:p>
        </w:tc>
        <w:tc>
          <w:tcPr>
            <w:tcW w:w="1465" w:type="dxa"/>
            <w:tcBorders>
              <w:top w:val="nil"/>
              <w:left w:val="nil"/>
              <w:bottom w:val="single" w:color="auto" w:sz="4" w:space="0"/>
              <w:right w:val="single" w:color="auto" w:sz="4" w:space="0"/>
            </w:tcBorders>
            <w:shd w:val="clear" w:color="000000" w:fill="FFFFFF"/>
            <w:vAlign w:val="center"/>
          </w:tcPr>
          <w:p>
            <w:pPr>
              <w:widowControl/>
              <w:adjustRightInd w:val="0"/>
              <w:snapToGrid w:val="0"/>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0.05</w:t>
            </w:r>
            <w:r>
              <w:rPr>
                <w:rFonts w:hint="eastAsia" w:ascii="Times New Roman" w:hAnsi="Times New Roman" w:eastAsia="宋体" w:cs="Times New Roman"/>
                <w:color w:val="auto"/>
                <w:kern w:val="0"/>
                <w:sz w:val="18"/>
                <w:szCs w:val="18"/>
              </w:rPr>
              <w:t>（测定均值）</w:t>
            </w:r>
          </w:p>
        </w:tc>
        <w:tc>
          <w:tcPr>
            <w:tcW w:w="1595" w:type="dxa"/>
            <w:tcBorders>
              <w:top w:val="nil"/>
              <w:left w:val="nil"/>
              <w:bottom w:val="single" w:color="auto" w:sz="4" w:space="0"/>
              <w:right w:val="single" w:color="auto" w:sz="4" w:space="0"/>
            </w:tcBorders>
            <w:shd w:val="clear" w:color="000000" w:fill="FFFFFF"/>
            <w:vAlign w:val="center"/>
          </w:tcPr>
          <w:p>
            <w:pPr>
              <w:widowControl/>
              <w:adjustRightInd w:val="0"/>
              <w:snapToGrid w:val="0"/>
              <w:rPr>
                <w:rFonts w:ascii="Times New Roman" w:hAnsi="Times New Roman" w:eastAsia="宋体" w:cs="Times New Roman"/>
                <w:bCs/>
                <w:color w:val="auto"/>
                <w:kern w:val="0"/>
                <w:sz w:val="18"/>
                <w:szCs w:val="18"/>
              </w:rPr>
            </w:pPr>
            <w:r>
              <w:rPr>
                <w:rFonts w:ascii="Times New Roman" w:hAnsi="Times New Roman" w:eastAsia="宋体" w:cs="Times New Roman"/>
                <w:bCs/>
                <w:color w:val="auto"/>
                <w:kern w:val="0"/>
                <w:sz w:val="18"/>
                <w:szCs w:val="18"/>
              </w:rPr>
              <w:t>0.02</w:t>
            </w:r>
            <w:r>
              <w:rPr>
                <w:rFonts w:hint="eastAsia" w:ascii="Times New Roman" w:hAnsi="Times New Roman" w:eastAsia="宋体" w:cs="Times New Roman"/>
                <w:color w:val="auto"/>
                <w:kern w:val="0"/>
                <w:sz w:val="18"/>
                <w:szCs w:val="18"/>
              </w:rPr>
              <w:t>（测定均值）</w:t>
            </w:r>
          </w:p>
        </w:tc>
        <w:tc>
          <w:tcPr>
            <w:tcW w:w="105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Cs/>
                <w:color w:val="auto"/>
                <w:kern w:val="0"/>
                <w:sz w:val="18"/>
                <w:szCs w:val="18"/>
              </w:rPr>
            </w:pPr>
            <w:r>
              <w:rPr>
                <w:rFonts w:ascii="Times New Roman" w:hAnsi="Times New Roman" w:eastAsia="宋体" w:cs="Times New Roman"/>
                <w:color w:val="auto"/>
                <w:kern w:val="0"/>
                <w:sz w:val="18"/>
                <w:szCs w:val="18"/>
              </w:rPr>
              <w:t>0.05</w:t>
            </w:r>
          </w:p>
        </w:tc>
        <w:tc>
          <w:tcPr>
            <w:tcW w:w="105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bCs/>
                <w:color w:val="auto"/>
                <w:kern w:val="0"/>
                <w:sz w:val="18"/>
                <w:szCs w:val="18"/>
              </w:rPr>
              <w:t>0.013</w:t>
            </w:r>
          </w:p>
        </w:tc>
      </w:tr>
      <w:tr>
        <w:tblPrEx>
          <w:tblCellMar>
            <w:top w:w="0" w:type="dxa"/>
            <w:left w:w="108" w:type="dxa"/>
            <w:bottom w:w="0" w:type="dxa"/>
            <w:right w:w="108" w:type="dxa"/>
          </w:tblCellMar>
        </w:tblPrEx>
        <w:trPr>
          <w:trHeight w:val="397" w:hRule="atLeast"/>
          <w:jc w:val="center"/>
        </w:trPr>
        <w:tc>
          <w:tcPr>
            <w:tcW w:w="2865" w:type="dxa"/>
            <w:tcBorders>
              <w:top w:val="nil"/>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hint="eastAsia" w:ascii="Times New Roman" w:hAnsi="Times New Roman" w:eastAsia="宋体" w:cs="Times New Roman"/>
                <w:color w:val="auto"/>
                <w:kern w:val="0"/>
                <w:sz w:val="18"/>
                <w:szCs w:val="18"/>
              </w:rPr>
              <w:t>镉、铊及其化合物</w:t>
            </w:r>
          </w:p>
          <w:p>
            <w:pPr>
              <w:widowControl/>
              <w:adjustRightInd w:val="0"/>
              <w:snapToGrid w:val="0"/>
              <w:jc w:val="center"/>
              <w:rPr>
                <w:rFonts w:ascii="Times New Roman" w:hAnsi="Times New Roman" w:eastAsia="宋体" w:cs="Times New Roman"/>
                <w:color w:val="auto"/>
                <w:kern w:val="0"/>
                <w:sz w:val="18"/>
                <w:szCs w:val="18"/>
              </w:rPr>
            </w:pPr>
            <w:r>
              <w:rPr>
                <w:rFonts w:hint="eastAsia" w:ascii="Times New Roman" w:hAnsi="Times New Roman" w:eastAsia="宋体" w:cs="Times New Roman"/>
                <w:color w:val="auto"/>
                <w:kern w:val="0"/>
                <w:sz w:val="18"/>
                <w:szCs w:val="18"/>
              </w:rPr>
              <w:t>（以</w:t>
            </w:r>
            <w:r>
              <w:rPr>
                <w:rFonts w:ascii="Times New Roman" w:hAnsi="Times New Roman" w:eastAsia="宋体" w:cs="Times New Roman"/>
                <w:color w:val="auto"/>
                <w:kern w:val="0"/>
                <w:sz w:val="18"/>
                <w:szCs w:val="18"/>
              </w:rPr>
              <w:t>Cd+Tl</w:t>
            </w:r>
            <w:r>
              <w:rPr>
                <w:rFonts w:hint="eastAsia" w:ascii="Times New Roman" w:hAnsi="Times New Roman" w:eastAsia="宋体" w:cs="Times New Roman"/>
                <w:color w:val="auto"/>
                <w:kern w:val="0"/>
                <w:sz w:val="18"/>
                <w:szCs w:val="18"/>
              </w:rPr>
              <w:t>计）</w:t>
            </w:r>
          </w:p>
        </w:tc>
        <w:tc>
          <w:tcPr>
            <w:tcW w:w="1006"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mg/Nm</w:t>
            </w:r>
            <w:r>
              <w:rPr>
                <w:rFonts w:ascii="Times New Roman" w:hAnsi="Times New Roman" w:eastAsia="宋体" w:cs="Times New Roman"/>
                <w:color w:val="auto"/>
                <w:kern w:val="0"/>
                <w:sz w:val="18"/>
                <w:szCs w:val="18"/>
                <w:vertAlign w:val="superscript"/>
              </w:rPr>
              <w:t>3</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628"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0.05</w:t>
            </w:r>
            <w:r>
              <w:rPr>
                <w:rFonts w:hint="eastAsia" w:ascii="Times New Roman" w:hAnsi="Times New Roman" w:eastAsia="宋体" w:cs="Times New Roman"/>
                <w:color w:val="auto"/>
                <w:kern w:val="0"/>
                <w:sz w:val="18"/>
                <w:szCs w:val="18"/>
              </w:rPr>
              <w:t>（测定均值）</w:t>
            </w:r>
          </w:p>
        </w:tc>
        <w:tc>
          <w:tcPr>
            <w:tcW w:w="1465" w:type="dxa"/>
            <w:tcBorders>
              <w:top w:val="nil"/>
              <w:left w:val="nil"/>
              <w:bottom w:val="single" w:color="auto" w:sz="4" w:space="0"/>
              <w:right w:val="single" w:color="auto" w:sz="4" w:space="0"/>
            </w:tcBorders>
            <w:shd w:val="clear" w:color="000000" w:fill="FFFFFF"/>
            <w:vAlign w:val="center"/>
          </w:tcPr>
          <w:p>
            <w:pPr>
              <w:widowControl/>
              <w:adjustRightInd w:val="0"/>
              <w:snapToGrid w:val="0"/>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0.05</w:t>
            </w:r>
            <w:r>
              <w:rPr>
                <w:rFonts w:hint="eastAsia" w:ascii="Times New Roman" w:hAnsi="Times New Roman" w:eastAsia="宋体" w:cs="Times New Roman"/>
                <w:color w:val="auto"/>
                <w:kern w:val="0"/>
                <w:sz w:val="18"/>
                <w:szCs w:val="18"/>
              </w:rPr>
              <w:t>（测定均值）</w:t>
            </w:r>
          </w:p>
        </w:tc>
        <w:tc>
          <w:tcPr>
            <w:tcW w:w="159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Cs/>
                <w:color w:val="auto"/>
                <w:kern w:val="0"/>
                <w:sz w:val="18"/>
                <w:szCs w:val="18"/>
              </w:rPr>
            </w:pPr>
            <w:r>
              <w:rPr>
                <w:rFonts w:ascii="Times New Roman" w:hAnsi="Times New Roman" w:eastAsia="宋体" w:cs="Times New Roman"/>
                <w:color w:val="auto"/>
                <w:kern w:val="0"/>
                <w:sz w:val="18"/>
                <w:szCs w:val="18"/>
              </w:rPr>
              <w:t>—</w:t>
            </w:r>
          </w:p>
        </w:tc>
        <w:tc>
          <w:tcPr>
            <w:tcW w:w="105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0.05</w:t>
            </w:r>
          </w:p>
        </w:tc>
        <w:tc>
          <w:tcPr>
            <w:tcW w:w="1055" w:type="dxa"/>
            <w:tcBorders>
              <w:top w:val="nil"/>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r>
      <w:tr>
        <w:tblPrEx>
          <w:tblCellMar>
            <w:top w:w="0" w:type="dxa"/>
            <w:left w:w="108" w:type="dxa"/>
            <w:bottom w:w="0" w:type="dxa"/>
            <w:right w:w="108" w:type="dxa"/>
          </w:tblCellMar>
        </w:tblPrEx>
        <w:trPr>
          <w:trHeight w:val="480" w:hRule="atLeast"/>
          <w:jc w:val="center"/>
        </w:trPr>
        <w:tc>
          <w:tcPr>
            <w:tcW w:w="286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hint="eastAsia" w:ascii="Times New Roman" w:hAnsi="Times New Roman" w:eastAsia="宋体" w:cs="Times New Roman"/>
                <w:color w:val="auto"/>
                <w:kern w:val="0"/>
                <w:sz w:val="18"/>
                <w:szCs w:val="18"/>
              </w:rPr>
              <w:t>铊及其化合物</w:t>
            </w:r>
          </w:p>
          <w:p>
            <w:pPr>
              <w:widowControl/>
              <w:adjustRightInd w:val="0"/>
              <w:snapToGrid w:val="0"/>
              <w:jc w:val="center"/>
              <w:rPr>
                <w:rFonts w:ascii="Times New Roman" w:hAnsi="Times New Roman" w:eastAsia="宋体" w:cs="Times New Roman"/>
                <w:color w:val="auto"/>
                <w:kern w:val="0"/>
                <w:sz w:val="18"/>
                <w:szCs w:val="18"/>
              </w:rPr>
            </w:pPr>
            <w:r>
              <w:rPr>
                <w:rFonts w:hint="eastAsia" w:ascii="Times New Roman" w:hAnsi="Times New Roman" w:eastAsia="宋体" w:cs="Times New Roman"/>
                <w:color w:val="auto"/>
                <w:kern w:val="0"/>
                <w:sz w:val="18"/>
                <w:szCs w:val="18"/>
              </w:rPr>
              <w:t>（以</w:t>
            </w:r>
            <w:r>
              <w:rPr>
                <w:rFonts w:ascii="Times New Roman" w:hAnsi="Times New Roman" w:eastAsia="宋体" w:cs="Times New Roman"/>
                <w:color w:val="auto"/>
                <w:kern w:val="0"/>
                <w:sz w:val="18"/>
                <w:szCs w:val="18"/>
              </w:rPr>
              <w:t>Tl</w:t>
            </w:r>
            <w:r>
              <w:rPr>
                <w:rFonts w:hint="eastAsia" w:ascii="Times New Roman" w:hAnsi="Times New Roman" w:eastAsia="宋体" w:cs="Times New Roman"/>
                <w:color w:val="auto"/>
                <w:kern w:val="0"/>
                <w:sz w:val="18"/>
                <w:szCs w:val="18"/>
              </w:rPr>
              <w:t>计）</w:t>
            </w:r>
          </w:p>
        </w:tc>
        <w:tc>
          <w:tcPr>
            <w:tcW w:w="1006" w:type="dxa"/>
            <w:tcBorders>
              <w:top w:val="single" w:color="auto" w:sz="4" w:space="0"/>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mg/Nm</w:t>
            </w:r>
            <w:r>
              <w:rPr>
                <w:rFonts w:ascii="Times New Roman" w:hAnsi="Times New Roman" w:eastAsia="宋体" w:cs="Times New Roman"/>
                <w:color w:val="auto"/>
                <w:kern w:val="0"/>
                <w:sz w:val="18"/>
                <w:szCs w:val="18"/>
                <w:vertAlign w:val="superscript"/>
              </w:rPr>
              <w:t>3</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0.05（测定均值）</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628" w:type="dxa"/>
            <w:tcBorders>
              <w:top w:val="single" w:color="auto" w:sz="4" w:space="0"/>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465" w:type="dxa"/>
            <w:tcBorders>
              <w:top w:val="single" w:color="auto" w:sz="4" w:space="0"/>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595" w:type="dxa"/>
            <w:tcBorders>
              <w:top w:val="single" w:color="auto" w:sz="4" w:space="0"/>
              <w:left w:val="nil"/>
              <w:bottom w:val="single" w:color="auto" w:sz="4" w:space="0"/>
              <w:right w:val="single" w:color="auto" w:sz="4" w:space="0"/>
            </w:tcBorders>
            <w:shd w:val="clear" w:color="000000" w:fill="FFFFFF"/>
            <w:vAlign w:val="center"/>
          </w:tcPr>
          <w:p>
            <w:pPr>
              <w:widowControl/>
              <w:adjustRightInd w:val="0"/>
              <w:snapToGrid w:val="0"/>
              <w:rPr>
                <w:rFonts w:ascii="Times New Roman" w:hAnsi="Times New Roman" w:eastAsia="宋体" w:cs="Times New Roman"/>
                <w:bCs/>
                <w:color w:val="auto"/>
                <w:kern w:val="0"/>
                <w:sz w:val="18"/>
                <w:szCs w:val="18"/>
              </w:rPr>
            </w:pPr>
            <w:r>
              <w:rPr>
                <w:rFonts w:ascii="Times New Roman" w:hAnsi="Times New Roman" w:eastAsia="宋体" w:cs="Times New Roman"/>
                <w:bCs/>
                <w:color w:val="auto"/>
                <w:kern w:val="0"/>
                <w:sz w:val="18"/>
                <w:szCs w:val="18"/>
              </w:rPr>
              <w:t>0.02</w:t>
            </w:r>
            <w:r>
              <w:rPr>
                <w:rFonts w:hint="eastAsia" w:ascii="Times New Roman" w:hAnsi="Times New Roman" w:eastAsia="宋体" w:cs="Times New Roman"/>
                <w:color w:val="auto"/>
                <w:kern w:val="0"/>
                <w:sz w:val="18"/>
                <w:szCs w:val="18"/>
              </w:rPr>
              <w:t>（测定均值）</w:t>
            </w:r>
          </w:p>
        </w:tc>
        <w:tc>
          <w:tcPr>
            <w:tcW w:w="1055" w:type="dxa"/>
            <w:tcBorders>
              <w:top w:val="single" w:color="auto" w:sz="4" w:space="0"/>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Cs/>
                <w:color w:val="auto"/>
                <w:kern w:val="0"/>
                <w:sz w:val="18"/>
                <w:szCs w:val="18"/>
              </w:rPr>
            </w:pPr>
            <w:r>
              <w:rPr>
                <w:rFonts w:ascii="Times New Roman" w:hAnsi="Times New Roman" w:eastAsia="宋体" w:cs="Times New Roman"/>
                <w:color w:val="auto"/>
                <w:kern w:val="0"/>
                <w:sz w:val="18"/>
                <w:szCs w:val="18"/>
              </w:rPr>
              <w:t>—</w:t>
            </w:r>
          </w:p>
        </w:tc>
        <w:tc>
          <w:tcPr>
            <w:tcW w:w="1055" w:type="dxa"/>
            <w:tcBorders>
              <w:top w:val="single" w:color="auto" w:sz="4" w:space="0"/>
              <w:left w:val="nil"/>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r>
      <w:tr>
        <w:tblPrEx>
          <w:tblCellMar>
            <w:top w:w="0" w:type="dxa"/>
            <w:left w:w="108" w:type="dxa"/>
            <w:bottom w:w="0" w:type="dxa"/>
            <w:right w:w="108" w:type="dxa"/>
          </w:tblCellMar>
        </w:tblPrEx>
        <w:trPr>
          <w:trHeight w:val="397" w:hRule="atLeast"/>
          <w:jc w:val="center"/>
        </w:trPr>
        <w:tc>
          <w:tcPr>
            <w:tcW w:w="286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hint="eastAsia" w:ascii="Times New Roman" w:hAnsi="Times New Roman" w:eastAsia="宋体" w:cs="Times New Roman"/>
                <w:color w:val="auto"/>
                <w:kern w:val="0"/>
                <w:sz w:val="18"/>
                <w:szCs w:val="18"/>
              </w:rPr>
              <w:t>镉及其化合物</w:t>
            </w:r>
          </w:p>
          <w:p>
            <w:pPr>
              <w:widowControl/>
              <w:adjustRightInd w:val="0"/>
              <w:snapToGrid w:val="0"/>
              <w:jc w:val="center"/>
              <w:rPr>
                <w:rFonts w:ascii="Times New Roman" w:hAnsi="Times New Roman" w:eastAsia="宋体" w:cs="Times New Roman"/>
                <w:color w:val="auto"/>
                <w:kern w:val="0"/>
                <w:sz w:val="18"/>
                <w:szCs w:val="18"/>
              </w:rPr>
            </w:pPr>
            <w:r>
              <w:rPr>
                <w:rFonts w:hint="eastAsia" w:ascii="Times New Roman" w:hAnsi="Times New Roman" w:eastAsia="宋体" w:cs="Times New Roman"/>
                <w:color w:val="auto"/>
                <w:kern w:val="0"/>
                <w:sz w:val="18"/>
                <w:szCs w:val="18"/>
              </w:rPr>
              <w:t>（以</w:t>
            </w:r>
            <w:r>
              <w:rPr>
                <w:rFonts w:ascii="Times New Roman" w:hAnsi="Times New Roman" w:eastAsia="宋体" w:cs="Times New Roman"/>
                <w:color w:val="auto"/>
                <w:kern w:val="0"/>
                <w:sz w:val="18"/>
                <w:szCs w:val="18"/>
              </w:rPr>
              <w:t>Cd</w:t>
            </w:r>
            <w:r>
              <w:rPr>
                <w:rFonts w:hint="eastAsia" w:ascii="Times New Roman" w:hAnsi="Times New Roman" w:eastAsia="宋体" w:cs="Times New Roman"/>
                <w:color w:val="auto"/>
                <w:kern w:val="0"/>
                <w:sz w:val="18"/>
                <w:szCs w:val="18"/>
              </w:rPr>
              <w:t>计）</w:t>
            </w:r>
          </w:p>
        </w:tc>
        <w:tc>
          <w:tcPr>
            <w:tcW w:w="1006"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mg/Nm</w:t>
            </w:r>
            <w:r>
              <w:rPr>
                <w:rFonts w:ascii="Times New Roman" w:hAnsi="Times New Roman" w:eastAsia="宋体" w:cs="Times New Roman"/>
                <w:color w:val="auto"/>
                <w:kern w:val="0"/>
                <w:sz w:val="18"/>
                <w:szCs w:val="18"/>
                <w:vertAlign w:val="superscript"/>
              </w:rPr>
              <w:t>3</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0.05（测定均值）</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0.1</w:t>
            </w:r>
            <w:r>
              <w:rPr>
                <w:rFonts w:hint="eastAsia" w:ascii="Times New Roman" w:hAnsi="Times New Roman" w:eastAsia="宋体" w:cs="Times New Roman"/>
                <w:color w:val="auto"/>
                <w:kern w:val="0"/>
                <w:sz w:val="18"/>
                <w:szCs w:val="18"/>
              </w:rPr>
              <w:t>（测定均值）</w:t>
            </w:r>
          </w:p>
        </w:tc>
        <w:tc>
          <w:tcPr>
            <w:tcW w:w="1628"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46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59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rPr>
                <w:rFonts w:ascii="Times New Roman" w:hAnsi="Times New Roman" w:eastAsia="宋体" w:cs="Times New Roman"/>
                <w:bCs/>
                <w:color w:val="auto"/>
                <w:kern w:val="0"/>
                <w:sz w:val="18"/>
                <w:szCs w:val="18"/>
              </w:rPr>
            </w:pPr>
            <w:r>
              <w:rPr>
                <w:rFonts w:ascii="Times New Roman" w:hAnsi="Times New Roman" w:eastAsia="宋体" w:cs="Times New Roman"/>
                <w:bCs/>
                <w:color w:val="auto"/>
                <w:kern w:val="0"/>
                <w:sz w:val="18"/>
                <w:szCs w:val="18"/>
              </w:rPr>
              <w:t>0.02</w:t>
            </w:r>
            <w:r>
              <w:rPr>
                <w:rFonts w:hint="eastAsia" w:ascii="Times New Roman" w:hAnsi="Times New Roman" w:eastAsia="宋体" w:cs="Times New Roman"/>
                <w:color w:val="auto"/>
                <w:kern w:val="0"/>
                <w:sz w:val="18"/>
                <w:szCs w:val="18"/>
              </w:rPr>
              <w:t>（测定均值）</w:t>
            </w:r>
          </w:p>
        </w:tc>
        <w:tc>
          <w:tcPr>
            <w:tcW w:w="105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Cs/>
                <w:color w:val="auto"/>
                <w:kern w:val="0"/>
                <w:sz w:val="18"/>
                <w:szCs w:val="18"/>
              </w:rPr>
            </w:pPr>
            <w:r>
              <w:rPr>
                <w:rFonts w:ascii="Times New Roman" w:hAnsi="Times New Roman" w:eastAsia="宋体" w:cs="Times New Roman"/>
                <w:color w:val="auto"/>
                <w:kern w:val="0"/>
                <w:sz w:val="18"/>
                <w:szCs w:val="18"/>
              </w:rPr>
              <w:t>—</w:t>
            </w:r>
          </w:p>
        </w:tc>
        <w:tc>
          <w:tcPr>
            <w:tcW w:w="105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bCs/>
                <w:color w:val="auto"/>
                <w:kern w:val="0"/>
                <w:sz w:val="18"/>
                <w:szCs w:val="18"/>
              </w:rPr>
              <w:t>0.0066</w:t>
            </w:r>
          </w:p>
        </w:tc>
      </w:tr>
      <w:tr>
        <w:tblPrEx>
          <w:tblCellMar>
            <w:top w:w="0" w:type="dxa"/>
            <w:left w:w="108" w:type="dxa"/>
            <w:bottom w:w="0" w:type="dxa"/>
            <w:right w:w="108" w:type="dxa"/>
          </w:tblCellMar>
        </w:tblPrEx>
        <w:trPr>
          <w:trHeight w:val="397" w:hRule="atLeast"/>
          <w:jc w:val="center"/>
        </w:trPr>
        <w:tc>
          <w:tcPr>
            <w:tcW w:w="286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hint="eastAsia" w:ascii="Times New Roman" w:hAnsi="Times New Roman" w:eastAsia="宋体" w:cs="Times New Roman"/>
                <w:color w:val="auto"/>
                <w:kern w:val="0"/>
                <w:sz w:val="18"/>
                <w:szCs w:val="18"/>
              </w:rPr>
              <w:t>铅及其化合物</w:t>
            </w:r>
          </w:p>
          <w:p>
            <w:pPr>
              <w:widowControl/>
              <w:adjustRightInd w:val="0"/>
              <w:snapToGrid w:val="0"/>
              <w:jc w:val="center"/>
              <w:rPr>
                <w:rFonts w:ascii="Times New Roman" w:hAnsi="Times New Roman" w:eastAsia="宋体" w:cs="Times New Roman"/>
                <w:color w:val="auto"/>
                <w:kern w:val="0"/>
                <w:sz w:val="18"/>
                <w:szCs w:val="18"/>
              </w:rPr>
            </w:pPr>
            <w:r>
              <w:rPr>
                <w:rFonts w:hint="eastAsia" w:ascii="Times New Roman" w:hAnsi="Times New Roman" w:eastAsia="宋体" w:cs="Times New Roman"/>
                <w:color w:val="auto"/>
                <w:kern w:val="0"/>
                <w:sz w:val="18"/>
                <w:szCs w:val="18"/>
              </w:rPr>
              <w:t>（以</w:t>
            </w:r>
            <w:r>
              <w:rPr>
                <w:rFonts w:ascii="Times New Roman" w:hAnsi="Times New Roman" w:eastAsia="宋体" w:cs="Times New Roman"/>
                <w:color w:val="auto"/>
                <w:kern w:val="0"/>
                <w:sz w:val="18"/>
                <w:szCs w:val="18"/>
              </w:rPr>
              <w:t>Pb</w:t>
            </w:r>
            <w:r>
              <w:rPr>
                <w:rFonts w:hint="eastAsia" w:ascii="Times New Roman" w:hAnsi="Times New Roman" w:eastAsia="宋体" w:cs="Times New Roman"/>
                <w:color w:val="auto"/>
                <w:kern w:val="0"/>
                <w:sz w:val="18"/>
                <w:szCs w:val="18"/>
              </w:rPr>
              <w:t>计）</w:t>
            </w:r>
          </w:p>
        </w:tc>
        <w:tc>
          <w:tcPr>
            <w:tcW w:w="1006"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mg/Nm</w:t>
            </w:r>
            <w:r>
              <w:rPr>
                <w:rFonts w:ascii="Times New Roman" w:hAnsi="Times New Roman" w:eastAsia="宋体" w:cs="Times New Roman"/>
                <w:color w:val="auto"/>
                <w:kern w:val="0"/>
                <w:sz w:val="18"/>
                <w:szCs w:val="18"/>
                <w:vertAlign w:val="superscript"/>
              </w:rPr>
              <w:t>3</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0.5（测定均值）</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1.0</w:t>
            </w:r>
            <w:r>
              <w:rPr>
                <w:rFonts w:hint="eastAsia" w:ascii="Times New Roman" w:hAnsi="Times New Roman" w:eastAsia="宋体" w:cs="Times New Roman"/>
                <w:color w:val="auto"/>
                <w:kern w:val="0"/>
                <w:sz w:val="18"/>
                <w:szCs w:val="18"/>
              </w:rPr>
              <w:t>（测定均值）</w:t>
            </w:r>
          </w:p>
        </w:tc>
        <w:tc>
          <w:tcPr>
            <w:tcW w:w="1628"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0.5</w:t>
            </w:r>
            <w:r>
              <w:rPr>
                <w:rFonts w:hint="eastAsia" w:ascii="Times New Roman" w:hAnsi="Times New Roman" w:eastAsia="宋体" w:cs="Times New Roman"/>
                <w:color w:val="auto"/>
                <w:kern w:val="0"/>
                <w:sz w:val="18"/>
                <w:szCs w:val="18"/>
              </w:rPr>
              <w:t>（测定均值）</w:t>
            </w:r>
          </w:p>
        </w:tc>
        <w:tc>
          <w:tcPr>
            <w:tcW w:w="146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0.5</w:t>
            </w:r>
            <w:r>
              <w:rPr>
                <w:rFonts w:hint="eastAsia" w:ascii="Times New Roman" w:hAnsi="Times New Roman" w:eastAsia="宋体" w:cs="Times New Roman"/>
                <w:color w:val="auto"/>
                <w:kern w:val="0"/>
                <w:sz w:val="18"/>
                <w:szCs w:val="18"/>
              </w:rPr>
              <w:t>（测定均值）</w:t>
            </w:r>
          </w:p>
        </w:tc>
        <w:tc>
          <w:tcPr>
            <w:tcW w:w="159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Cs/>
                <w:color w:val="auto"/>
                <w:kern w:val="0"/>
                <w:sz w:val="18"/>
                <w:szCs w:val="18"/>
              </w:rPr>
            </w:pPr>
            <w:r>
              <w:rPr>
                <w:rFonts w:ascii="Times New Roman" w:hAnsi="Times New Roman" w:eastAsia="宋体" w:cs="Times New Roman"/>
                <w:bCs/>
                <w:color w:val="auto"/>
                <w:kern w:val="0"/>
                <w:sz w:val="18"/>
                <w:szCs w:val="18"/>
              </w:rPr>
              <w:t>0.1</w:t>
            </w:r>
            <w:r>
              <w:rPr>
                <w:rFonts w:hint="eastAsia" w:ascii="Times New Roman" w:hAnsi="Times New Roman" w:eastAsia="宋体" w:cs="Times New Roman"/>
                <w:color w:val="auto"/>
                <w:kern w:val="0"/>
                <w:sz w:val="18"/>
                <w:szCs w:val="18"/>
              </w:rPr>
              <w:t>（测定均值）</w:t>
            </w:r>
          </w:p>
        </w:tc>
        <w:tc>
          <w:tcPr>
            <w:tcW w:w="105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Cs/>
                <w:color w:val="auto"/>
                <w:kern w:val="0"/>
                <w:sz w:val="18"/>
                <w:szCs w:val="18"/>
              </w:rPr>
            </w:pPr>
            <w:r>
              <w:rPr>
                <w:rFonts w:ascii="Times New Roman" w:hAnsi="Times New Roman" w:eastAsia="宋体" w:cs="Times New Roman"/>
                <w:color w:val="auto"/>
                <w:kern w:val="0"/>
                <w:sz w:val="18"/>
                <w:szCs w:val="18"/>
              </w:rPr>
              <w:t>—</w:t>
            </w:r>
          </w:p>
        </w:tc>
        <w:tc>
          <w:tcPr>
            <w:tcW w:w="105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bCs/>
                <w:color w:val="auto"/>
                <w:kern w:val="0"/>
                <w:sz w:val="18"/>
                <w:szCs w:val="18"/>
              </w:rPr>
              <w:t>0.026</w:t>
            </w:r>
          </w:p>
        </w:tc>
      </w:tr>
      <w:tr>
        <w:tblPrEx>
          <w:tblCellMar>
            <w:top w:w="0" w:type="dxa"/>
            <w:left w:w="108" w:type="dxa"/>
            <w:bottom w:w="0" w:type="dxa"/>
            <w:right w:w="108" w:type="dxa"/>
          </w:tblCellMar>
        </w:tblPrEx>
        <w:trPr>
          <w:trHeight w:val="397" w:hRule="atLeast"/>
          <w:jc w:val="center"/>
        </w:trPr>
        <w:tc>
          <w:tcPr>
            <w:tcW w:w="286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hint="eastAsia" w:ascii="Times New Roman" w:hAnsi="Times New Roman" w:eastAsia="宋体" w:cs="Times New Roman"/>
                <w:color w:val="auto"/>
                <w:kern w:val="0"/>
                <w:sz w:val="18"/>
                <w:szCs w:val="18"/>
              </w:rPr>
              <w:t>砷及其化合物</w:t>
            </w:r>
          </w:p>
          <w:p>
            <w:pPr>
              <w:widowControl/>
              <w:adjustRightInd w:val="0"/>
              <w:snapToGrid w:val="0"/>
              <w:jc w:val="center"/>
              <w:rPr>
                <w:rFonts w:ascii="Times New Roman" w:hAnsi="Times New Roman" w:eastAsia="宋体" w:cs="Times New Roman"/>
                <w:color w:val="auto"/>
                <w:kern w:val="0"/>
                <w:sz w:val="18"/>
                <w:szCs w:val="18"/>
              </w:rPr>
            </w:pPr>
            <w:r>
              <w:rPr>
                <w:rFonts w:hint="eastAsia" w:ascii="Times New Roman" w:hAnsi="Times New Roman" w:eastAsia="宋体" w:cs="Times New Roman"/>
                <w:color w:val="auto"/>
                <w:kern w:val="0"/>
                <w:sz w:val="18"/>
                <w:szCs w:val="18"/>
              </w:rPr>
              <w:t>（以</w:t>
            </w:r>
            <w:r>
              <w:rPr>
                <w:rFonts w:ascii="Times New Roman" w:hAnsi="Times New Roman" w:eastAsia="宋体" w:cs="Times New Roman"/>
                <w:color w:val="auto"/>
                <w:kern w:val="0"/>
                <w:sz w:val="18"/>
                <w:szCs w:val="18"/>
              </w:rPr>
              <w:t>As</w:t>
            </w:r>
            <w:r>
              <w:rPr>
                <w:rFonts w:hint="eastAsia" w:ascii="Times New Roman" w:hAnsi="Times New Roman" w:eastAsia="宋体" w:cs="Times New Roman"/>
                <w:color w:val="auto"/>
                <w:kern w:val="0"/>
                <w:sz w:val="18"/>
                <w:szCs w:val="18"/>
              </w:rPr>
              <w:t>计）</w:t>
            </w:r>
          </w:p>
        </w:tc>
        <w:tc>
          <w:tcPr>
            <w:tcW w:w="1006"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mg/Nm</w:t>
            </w:r>
            <w:r>
              <w:rPr>
                <w:rFonts w:ascii="Times New Roman" w:hAnsi="Times New Roman" w:eastAsia="宋体" w:cs="Times New Roman"/>
                <w:color w:val="auto"/>
                <w:kern w:val="0"/>
                <w:sz w:val="18"/>
                <w:szCs w:val="18"/>
                <w:vertAlign w:val="superscript"/>
              </w:rPr>
              <w:t>3</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0.5（测定均值）</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628"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46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0.05</w:t>
            </w:r>
            <w:r>
              <w:rPr>
                <w:rFonts w:hint="eastAsia" w:ascii="Times New Roman" w:hAnsi="Times New Roman" w:eastAsia="宋体" w:cs="Times New Roman"/>
                <w:color w:val="auto"/>
                <w:kern w:val="0"/>
                <w:sz w:val="18"/>
                <w:szCs w:val="18"/>
              </w:rPr>
              <w:t>（测定均值）</w:t>
            </w:r>
          </w:p>
        </w:tc>
        <w:tc>
          <w:tcPr>
            <w:tcW w:w="159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Cs/>
                <w:color w:val="auto"/>
                <w:kern w:val="0"/>
                <w:sz w:val="18"/>
                <w:szCs w:val="18"/>
              </w:rPr>
            </w:pPr>
            <w:r>
              <w:rPr>
                <w:rFonts w:ascii="Times New Roman" w:hAnsi="Times New Roman" w:eastAsia="宋体" w:cs="Times New Roman"/>
                <w:bCs/>
                <w:color w:val="auto"/>
                <w:kern w:val="0"/>
                <w:sz w:val="18"/>
                <w:szCs w:val="18"/>
              </w:rPr>
              <w:t>0.1</w:t>
            </w:r>
            <w:r>
              <w:rPr>
                <w:rFonts w:hint="eastAsia" w:ascii="Times New Roman" w:hAnsi="Times New Roman" w:eastAsia="宋体" w:cs="Times New Roman"/>
                <w:color w:val="auto"/>
                <w:kern w:val="0"/>
                <w:sz w:val="18"/>
                <w:szCs w:val="18"/>
              </w:rPr>
              <w:t>（测定均值）</w:t>
            </w:r>
          </w:p>
        </w:tc>
        <w:tc>
          <w:tcPr>
            <w:tcW w:w="105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Cs/>
                <w:color w:val="auto"/>
                <w:kern w:val="0"/>
                <w:sz w:val="18"/>
                <w:szCs w:val="18"/>
              </w:rPr>
            </w:pPr>
            <w:r>
              <w:rPr>
                <w:rFonts w:ascii="Times New Roman" w:hAnsi="Times New Roman" w:eastAsia="宋体" w:cs="Times New Roman"/>
                <w:color w:val="auto"/>
                <w:kern w:val="0"/>
                <w:sz w:val="18"/>
                <w:szCs w:val="18"/>
              </w:rPr>
              <w:t>—</w:t>
            </w:r>
          </w:p>
        </w:tc>
        <w:tc>
          <w:tcPr>
            <w:tcW w:w="105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r>
      <w:tr>
        <w:tblPrEx>
          <w:tblCellMar>
            <w:top w:w="0" w:type="dxa"/>
            <w:left w:w="108" w:type="dxa"/>
            <w:bottom w:w="0" w:type="dxa"/>
            <w:right w:w="108" w:type="dxa"/>
          </w:tblCellMar>
        </w:tblPrEx>
        <w:trPr>
          <w:trHeight w:val="397" w:hRule="atLeast"/>
          <w:jc w:val="center"/>
        </w:trPr>
        <w:tc>
          <w:tcPr>
            <w:tcW w:w="286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hint="eastAsia" w:ascii="Times New Roman" w:hAnsi="Times New Roman" w:eastAsia="宋体" w:cs="Times New Roman"/>
                <w:color w:val="auto"/>
                <w:kern w:val="0"/>
                <w:sz w:val="18"/>
                <w:szCs w:val="18"/>
              </w:rPr>
              <w:t>砷、镍及其化合物</w:t>
            </w:r>
          </w:p>
          <w:p>
            <w:pPr>
              <w:widowControl/>
              <w:adjustRightInd w:val="0"/>
              <w:snapToGrid w:val="0"/>
              <w:jc w:val="center"/>
              <w:rPr>
                <w:rFonts w:ascii="Times New Roman" w:hAnsi="Times New Roman" w:eastAsia="宋体" w:cs="Times New Roman"/>
                <w:color w:val="auto"/>
                <w:kern w:val="0"/>
                <w:sz w:val="18"/>
                <w:szCs w:val="18"/>
              </w:rPr>
            </w:pPr>
            <w:r>
              <w:rPr>
                <w:rFonts w:hint="eastAsia" w:ascii="Times New Roman" w:hAnsi="Times New Roman" w:eastAsia="宋体" w:cs="Times New Roman"/>
                <w:color w:val="auto"/>
                <w:kern w:val="0"/>
                <w:sz w:val="18"/>
                <w:szCs w:val="18"/>
              </w:rPr>
              <w:t>（以</w:t>
            </w:r>
            <w:r>
              <w:rPr>
                <w:rFonts w:ascii="Times New Roman" w:hAnsi="Times New Roman" w:eastAsia="宋体" w:cs="Times New Roman"/>
                <w:color w:val="auto"/>
                <w:kern w:val="0"/>
                <w:sz w:val="18"/>
                <w:szCs w:val="18"/>
              </w:rPr>
              <w:t>As+Ni</w:t>
            </w:r>
            <w:r>
              <w:rPr>
                <w:rFonts w:hint="eastAsia" w:ascii="Times New Roman" w:hAnsi="Times New Roman" w:eastAsia="宋体" w:cs="Times New Roman"/>
                <w:color w:val="auto"/>
                <w:kern w:val="0"/>
                <w:sz w:val="18"/>
                <w:szCs w:val="18"/>
              </w:rPr>
              <w:t>计）</w:t>
            </w:r>
          </w:p>
        </w:tc>
        <w:tc>
          <w:tcPr>
            <w:tcW w:w="1006"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mg/Nm</w:t>
            </w:r>
            <w:r>
              <w:rPr>
                <w:rFonts w:ascii="Times New Roman" w:hAnsi="Times New Roman" w:eastAsia="宋体" w:cs="Times New Roman"/>
                <w:color w:val="auto"/>
                <w:kern w:val="0"/>
                <w:sz w:val="18"/>
                <w:szCs w:val="18"/>
                <w:vertAlign w:val="superscript"/>
              </w:rPr>
              <w:t>3</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1.0</w:t>
            </w:r>
            <w:r>
              <w:rPr>
                <w:rFonts w:hint="eastAsia" w:ascii="Times New Roman" w:hAnsi="Times New Roman" w:eastAsia="宋体" w:cs="Times New Roman"/>
                <w:color w:val="auto"/>
                <w:kern w:val="0"/>
                <w:sz w:val="18"/>
                <w:szCs w:val="18"/>
              </w:rPr>
              <w:t>（测定均值）</w:t>
            </w:r>
          </w:p>
        </w:tc>
        <w:tc>
          <w:tcPr>
            <w:tcW w:w="1628"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0.5</w:t>
            </w:r>
            <w:r>
              <w:rPr>
                <w:rFonts w:hint="eastAsia" w:ascii="Times New Roman" w:hAnsi="Times New Roman" w:eastAsia="宋体" w:cs="Times New Roman"/>
                <w:color w:val="auto"/>
                <w:kern w:val="0"/>
                <w:sz w:val="18"/>
                <w:szCs w:val="18"/>
              </w:rPr>
              <w:t>（测定均值）</w:t>
            </w:r>
          </w:p>
        </w:tc>
        <w:tc>
          <w:tcPr>
            <w:tcW w:w="146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59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Cs/>
                <w:color w:val="auto"/>
                <w:kern w:val="0"/>
                <w:sz w:val="18"/>
                <w:szCs w:val="18"/>
              </w:rPr>
            </w:pPr>
            <w:r>
              <w:rPr>
                <w:rFonts w:ascii="Times New Roman" w:hAnsi="Times New Roman" w:eastAsia="宋体" w:cs="Times New Roman"/>
                <w:color w:val="auto"/>
                <w:kern w:val="0"/>
                <w:sz w:val="18"/>
                <w:szCs w:val="18"/>
              </w:rPr>
              <w:t>—</w:t>
            </w:r>
          </w:p>
        </w:tc>
        <w:tc>
          <w:tcPr>
            <w:tcW w:w="105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05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r>
      <w:tr>
        <w:tblPrEx>
          <w:tblCellMar>
            <w:top w:w="0" w:type="dxa"/>
            <w:left w:w="108" w:type="dxa"/>
            <w:bottom w:w="0" w:type="dxa"/>
            <w:right w:w="108" w:type="dxa"/>
          </w:tblCellMar>
        </w:tblPrEx>
        <w:trPr>
          <w:trHeight w:val="397" w:hRule="atLeast"/>
          <w:jc w:val="center"/>
        </w:trPr>
        <w:tc>
          <w:tcPr>
            <w:tcW w:w="286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hint="eastAsia" w:ascii="Times New Roman" w:hAnsi="Times New Roman" w:eastAsia="宋体" w:cs="Times New Roman"/>
                <w:color w:val="auto"/>
                <w:kern w:val="0"/>
                <w:sz w:val="18"/>
                <w:szCs w:val="18"/>
              </w:rPr>
              <w:t>铬及其化合物</w:t>
            </w:r>
          </w:p>
          <w:p>
            <w:pPr>
              <w:widowControl/>
              <w:adjustRightInd w:val="0"/>
              <w:snapToGrid w:val="0"/>
              <w:jc w:val="center"/>
              <w:rPr>
                <w:rFonts w:ascii="Times New Roman" w:hAnsi="Times New Roman" w:eastAsia="宋体" w:cs="Times New Roman"/>
                <w:color w:val="auto"/>
                <w:kern w:val="0"/>
                <w:sz w:val="18"/>
                <w:szCs w:val="18"/>
              </w:rPr>
            </w:pPr>
            <w:r>
              <w:rPr>
                <w:rFonts w:hint="eastAsia" w:ascii="Times New Roman" w:hAnsi="Times New Roman" w:eastAsia="宋体" w:cs="Times New Roman"/>
                <w:color w:val="auto"/>
                <w:kern w:val="0"/>
                <w:sz w:val="18"/>
                <w:szCs w:val="18"/>
              </w:rPr>
              <w:t>（以</w:t>
            </w:r>
            <w:r>
              <w:rPr>
                <w:rFonts w:ascii="Times New Roman" w:hAnsi="Times New Roman" w:eastAsia="宋体" w:cs="Times New Roman"/>
                <w:color w:val="auto"/>
                <w:kern w:val="0"/>
                <w:sz w:val="18"/>
                <w:szCs w:val="18"/>
              </w:rPr>
              <w:t>Cr</w:t>
            </w:r>
            <w:r>
              <w:rPr>
                <w:rFonts w:hint="eastAsia" w:ascii="Times New Roman" w:hAnsi="Times New Roman" w:eastAsia="宋体" w:cs="Times New Roman"/>
                <w:color w:val="auto"/>
                <w:kern w:val="0"/>
                <w:sz w:val="18"/>
                <w:szCs w:val="18"/>
              </w:rPr>
              <w:t>计）</w:t>
            </w:r>
          </w:p>
        </w:tc>
        <w:tc>
          <w:tcPr>
            <w:tcW w:w="1006"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mg/Nm</w:t>
            </w:r>
            <w:r>
              <w:rPr>
                <w:rFonts w:ascii="Times New Roman" w:hAnsi="Times New Roman" w:eastAsia="宋体" w:cs="Times New Roman"/>
                <w:color w:val="auto"/>
                <w:kern w:val="0"/>
                <w:sz w:val="18"/>
                <w:szCs w:val="18"/>
                <w:vertAlign w:val="superscript"/>
              </w:rPr>
              <w:t>3</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0.5（测定均值）</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628"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46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59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Cs/>
                <w:color w:val="auto"/>
                <w:kern w:val="0"/>
                <w:sz w:val="18"/>
                <w:szCs w:val="18"/>
              </w:rPr>
            </w:pPr>
            <w:r>
              <w:rPr>
                <w:rFonts w:ascii="Times New Roman" w:hAnsi="Times New Roman" w:eastAsia="宋体" w:cs="Times New Roman"/>
                <w:bCs/>
                <w:color w:val="auto"/>
                <w:kern w:val="0"/>
                <w:sz w:val="18"/>
                <w:szCs w:val="18"/>
              </w:rPr>
              <w:t>0.1</w:t>
            </w:r>
            <w:r>
              <w:rPr>
                <w:rFonts w:hint="eastAsia" w:ascii="Times New Roman" w:hAnsi="Times New Roman" w:eastAsia="宋体" w:cs="Times New Roman"/>
                <w:color w:val="auto"/>
                <w:kern w:val="0"/>
                <w:sz w:val="18"/>
                <w:szCs w:val="18"/>
              </w:rPr>
              <w:t>（测定均值）</w:t>
            </w:r>
          </w:p>
        </w:tc>
        <w:tc>
          <w:tcPr>
            <w:tcW w:w="105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Cs/>
                <w:color w:val="auto"/>
                <w:kern w:val="0"/>
                <w:sz w:val="18"/>
                <w:szCs w:val="18"/>
              </w:rPr>
            </w:pPr>
            <w:r>
              <w:rPr>
                <w:rFonts w:ascii="Times New Roman" w:hAnsi="Times New Roman" w:eastAsia="宋体" w:cs="Times New Roman"/>
                <w:color w:val="auto"/>
                <w:kern w:val="0"/>
                <w:sz w:val="18"/>
                <w:szCs w:val="18"/>
              </w:rPr>
              <w:t>—</w:t>
            </w:r>
          </w:p>
        </w:tc>
        <w:tc>
          <w:tcPr>
            <w:tcW w:w="105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r>
      <w:tr>
        <w:tblPrEx>
          <w:tblCellMar>
            <w:top w:w="0" w:type="dxa"/>
            <w:left w:w="108" w:type="dxa"/>
            <w:bottom w:w="0" w:type="dxa"/>
            <w:right w:w="108" w:type="dxa"/>
          </w:tblCellMar>
        </w:tblPrEx>
        <w:trPr>
          <w:trHeight w:val="397" w:hRule="atLeast"/>
          <w:jc w:val="center"/>
        </w:trPr>
        <w:tc>
          <w:tcPr>
            <w:tcW w:w="286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hint="eastAsia" w:ascii="Times New Roman" w:hAnsi="Times New Roman" w:eastAsia="宋体" w:cs="Times New Roman"/>
                <w:color w:val="auto"/>
                <w:kern w:val="0"/>
                <w:sz w:val="18"/>
                <w:szCs w:val="18"/>
              </w:rPr>
              <w:t>锡、锑、铜、锰、镍及其化合物</w:t>
            </w:r>
          </w:p>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r>
              <w:rPr>
                <w:rFonts w:hint="eastAsia" w:ascii="Times New Roman" w:hAnsi="Times New Roman" w:eastAsia="宋体" w:cs="Times New Roman"/>
                <w:color w:val="auto"/>
                <w:kern w:val="0"/>
                <w:sz w:val="18"/>
                <w:szCs w:val="18"/>
              </w:rPr>
              <w:t>以</w:t>
            </w:r>
            <w:r>
              <w:rPr>
                <w:rFonts w:ascii="Times New Roman" w:hAnsi="Times New Roman" w:eastAsia="宋体" w:cs="Times New Roman"/>
                <w:color w:val="auto"/>
                <w:kern w:val="0"/>
                <w:sz w:val="18"/>
                <w:szCs w:val="18"/>
              </w:rPr>
              <w:t>Sn+Sb+Cu+Mn+Ni</w:t>
            </w:r>
            <w:r>
              <w:rPr>
                <w:rFonts w:hint="eastAsia" w:ascii="Times New Roman" w:hAnsi="Times New Roman" w:eastAsia="宋体" w:cs="Times New Roman"/>
                <w:color w:val="auto"/>
                <w:kern w:val="0"/>
                <w:sz w:val="18"/>
                <w:szCs w:val="18"/>
              </w:rPr>
              <w:t>计</w:t>
            </w:r>
            <w:r>
              <w:rPr>
                <w:rFonts w:ascii="Times New Roman" w:hAnsi="Times New Roman" w:eastAsia="宋体" w:cs="Times New Roman"/>
                <w:color w:val="auto"/>
                <w:kern w:val="0"/>
                <w:sz w:val="18"/>
                <w:szCs w:val="18"/>
              </w:rPr>
              <w:t>)</w:t>
            </w:r>
          </w:p>
        </w:tc>
        <w:tc>
          <w:tcPr>
            <w:tcW w:w="1006"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mg/Nm</w:t>
            </w:r>
            <w:r>
              <w:rPr>
                <w:rFonts w:ascii="Times New Roman" w:hAnsi="Times New Roman" w:eastAsia="宋体" w:cs="Times New Roman"/>
                <w:color w:val="auto"/>
                <w:kern w:val="0"/>
                <w:sz w:val="18"/>
                <w:szCs w:val="18"/>
                <w:vertAlign w:val="superscript"/>
              </w:rPr>
              <w:t>3</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2.0（测定均值）</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628"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46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59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Cs/>
                <w:color w:val="auto"/>
                <w:kern w:val="0"/>
                <w:sz w:val="18"/>
                <w:szCs w:val="18"/>
              </w:rPr>
            </w:pPr>
            <w:r>
              <w:rPr>
                <w:rFonts w:ascii="Times New Roman" w:hAnsi="Times New Roman" w:eastAsia="宋体" w:cs="Times New Roman"/>
                <w:color w:val="auto"/>
                <w:kern w:val="0"/>
                <w:sz w:val="18"/>
                <w:szCs w:val="18"/>
              </w:rPr>
              <w:t>—</w:t>
            </w:r>
          </w:p>
        </w:tc>
        <w:tc>
          <w:tcPr>
            <w:tcW w:w="105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05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r>
      <w:tr>
        <w:tblPrEx>
          <w:tblCellMar>
            <w:top w:w="0" w:type="dxa"/>
            <w:left w:w="108" w:type="dxa"/>
            <w:bottom w:w="0" w:type="dxa"/>
            <w:right w:w="108" w:type="dxa"/>
          </w:tblCellMar>
        </w:tblPrEx>
        <w:trPr>
          <w:trHeight w:val="397" w:hRule="atLeast"/>
          <w:jc w:val="center"/>
        </w:trPr>
        <w:tc>
          <w:tcPr>
            <w:tcW w:w="286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hint="eastAsia" w:ascii="Times New Roman" w:hAnsi="Times New Roman" w:eastAsia="宋体" w:cs="Times New Roman"/>
                <w:color w:val="auto"/>
                <w:kern w:val="0"/>
                <w:sz w:val="18"/>
                <w:szCs w:val="18"/>
              </w:rPr>
              <w:t>锡、锑、铜、锰、镍、钴及其化合物</w:t>
            </w:r>
            <w:r>
              <w:rPr>
                <w:rFonts w:ascii="Times New Roman" w:hAnsi="Times New Roman" w:eastAsia="宋体" w:cs="Times New Roman"/>
                <w:color w:val="auto"/>
                <w:kern w:val="0"/>
                <w:sz w:val="18"/>
                <w:szCs w:val="18"/>
              </w:rPr>
              <w:t>(</w:t>
            </w:r>
            <w:r>
              <w:rPr>
                <w:rFonts w:hint="eastAsia" w:ascii="Times New Roman" w:hAnsi="Times New Roman" w:eastAsia="宋体" w:cs="Times New Roman"/>
                <w:color w:val="auto"/>
                <w:kern w:val="0"/>
                <w:sz w:val="18"/>
                <w:szCs w:val="18"/>
              </w:rPr>
              <w:t>以</w:t>
            </w:r>
            <w:r>
              <w:rPr>
                <w:rFonts w:ascii="Times New Roman" w:hAnsi="Times New Roman" w:eastAsia="宋体" w:cs="Times New Roman"/>
                <w:color w:val="auto"/>
                <w:kern w:val="0"/>
                <w:sz w:val="18"/>
                <w:szCs w:val="18"/>
              </w:rPr>
              <w:t>Sn+Sb+Cu+Mn+Ni+Co</w:t>
            </w:r>
            <w:r>
              <w:rPr>
                <w:rFonts w:hint="eastAsia" w:ascii="Times New Roman" w:hAnsi="Times New Roman" w:eastAsia="宋体" w:cs="Times New Roman"/>
                <w:color w:val="auto"/>
                <w:kern w:val="0"/>
                <w:sz w:val="18"/>
                <w:szCs w:val="18"/>
              </w:rPr>
              <w:t>计</w:t>
            </w:r>
            <w:r>
              <w:rPr>
                <w:rFonts w:ascii="Times New Roman" w:hAnsi="Times New Roman" w:eastAsia="宋体" w:cs="Times New Roman"/>
                <w:color w:val="auto"/>
                <w:kern w:val="0"/>
                <w:sz w:val="18"/>
                <w:szCs w:val="18"/>
              </w:rPr>
              <w:t>)</w:t>
            </w:r>
          </w:p>
        </w:tc>
        <w:tc>
          <w:tcPr>
            <w:tcW w:w="1006"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mg/Nm</w:t>
            </w:r>
            <w:r>
              <w:rPr>
                <w:rFonts w:ascii="Times New Roman" w:hAnsi="Times New Roman" w:eastAsia="宋体" w:cs="Times New Roman"/>
                <w:color w:val="auto"/>
                <w:kern w:val="0"/>
                <w:sz w:val="18"/>
                <w:szCs w:val="18"/>
                <w:vertAlign w:val="superscript"/>
              </w:rPr>
              <w:t>3</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628"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46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59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Cs/>
                <w:color w:val="auto"/>
                <w:kern w:val="0"/>
                <w:sz w:val="18"/>
                <w:szCs w:val="18"/>
              </w:rPr>
            </w:pPr>
            <w:r>
              <w:rPr>
                <w:rFonts w:ascii="Times New Roman" w:hAnsi="Times New Roman" w:eastAsia="宋体" w:cs="Times New Roman"/>
                <w:bCs/>
                <w:color w:val="auto"/>
                <w:kern w:val="0"/>
                <w:sz w:val="18"/>
                <w:szCs w:val="18"/>
              </w:rPr>
              <w:t>0.5</w:t>
            </w:r>
            <w:r>
              <w:rPr>
                <w:rFonts w:hint="eastAsia" w:ascii="Times New Roman" w:hAnsi="Times New Roman" w:eastAsia="宋体" w:cs="Times New Roman"/>
                <w:color w:val="auto"/>
                <w:kern w:val="0"/>
                <w:sz w:val="18"/>
                <w:szCs w:val="18"/>
              </w:rPr>
              <w:t>（测定均值）</w:t>
            </w:r>
          </w:p>
        </w:tc>
        <w:tc>
          <w:tcPr>
            <w:tcW w:w="105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Cs/>
                <w:color w:val="auto"/>
                <w:kern w:val="0"/>
                <w:sz w:val="18"/>
                <w:szCs w:val="18"/>
              </w:rPr>
            </w:pPr>
            <w:r>
              <w:rPr>
                <w:rFonts w:ascii="Times New Roman" w:hAnsi="Times New Roman" w:eastAsia="宋体" w:cs="Times New Roman"/>
                <w:color w:val="auto"/>
                <w:kern w:val="0"/>
                <w:sz w:val="18"/>
                <w:szCs w:val="18"/>
              </w:rPr>
              <w:t>—</w:t>
            </w:r>
          </w:p>
        </w:tc>
        <w:tc>
          <w:tcPr>
            <w:tcW w:w="105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r>
      <w:tr>
        <w:tblPrEx>
          <w:tblCellMar>
            <w:top w:w="0" w:type="dxa"/>
            <w:left w:w="108" w:type="dxa"/>
            <w:bottom w:w="0" w:type="dxa"/>
            <w:right w:w="108" w:type="dxa"/>
          </w:tblCellMar>
        </w:tblPrEx>
        <w:trPr>
          <w:trHeight w:val="397" w:hRule="atLeast"/>
          <w:jc w:val="center"/>
        </w:trPr>
        <w:tc>
          <w:tcPr>
            <w:tcW w:w="286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hint="eastAsia" w:ascii="Times New Roman" w:hAnsi="Times New Roman" w:eastAsia="宋体" w:cs="Times New Roman"/>
                <w:color w:val="auto"/>
                <w:kern w:val="0"/>
                <w:sz w:val="18"/>
                <w:szCs w:val="18"/>
              </w:rPr>
              <w:t>铬、锡、锑、铜、锰、镍及其化合物</w:t>
            </w:r>
            <w:r>
              <w:rPr>
                <w:rFonts w:ascii="Times New Roman" w:hAnsi="Times New Roman" w:eastAsia="宋体" w:cs="Times New Roman"/>
                <w:color w:val="auto"/>
                <w:kern w:val="0"/>
                <w:sz w:val="18"/>
                <w:szCs w:val="18"/>
              </w:rPr>
              <w:t>(</w:t>
            </w:r>
            <w:r>
              <w:rPr>
                <w:rFonts w:hint="eastAsia" w:ascii="Times New Roman" w:hAnsi="Times New Roman" w:eastAsia="宋体" w:cs="Times New Roman"/>
                <w:color w:val="auto"/>
                <w:kern w:val="0"/>
                <w:sz w:val="18"/>
                <w:szCs w:val="18"/>
              </w:rPr>
              <w:t>以</w:t>
            </w:r>
            <w:r>
              <w:rPr>
                <w:rFonts w:ascii="Times New Roman" w:hAnsi="Times New Roman" w:eastAsia="宋体" w:cs="Times New Roman"/>
                <w:color w:val="auto"/>
                <w:kern w:val="0"/>
                <w:sz w:val="18"/>
                <w:szCs w:val="18"/>
              </w:rPr>
              <w:t>Cr+Sn+Sb+Cu+Mn+Ni</w:t>
            </w:r>
            <w:r>
              <w:rPr>
                <w:rFonts w:hint="eastAsia" w:ascii="Times New Roman" w:hAnsi="Times New Roman" w:eastAsia="宋体" w:cs="Times New Roman"/>
                <w:color w:val="auto"/>
                <w:kern w:val="0"/>
                <w:sz w:val="18"/>
                <w:szCs w:val="18"/>
              </w:rPr>
              <w:t>计</w:t>
            </w:r>
            <w:r>
              <w:rPr>
                <w:rFonts w:ascii="Times New Roman" w:hAnsi="Times New Roman" w:eastAsia="宋体" w:cs="Times New Roman"/>
                <w:color w:val="auto"/>
                <w:kern w:val="0"/>
                <w:sz w:val="18"/>
                <w:szCs w:val="18"/>
              </w:rPr>
              <w:t>)</w:t>
            </w:r>
          </w:p>
        </w:tc>
        <w:tc>
          <w:tcPr>
            <w:tcW w:w="1006"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mg/Nm</w:t>
            </w:r>
            <w:r>
              <w:rPr>
                <w:rFonts w:ascii="Times New Roman" w:hAnsi="Times New Roman" w:eastAsia="宋体" w:cs="Times New Roman"/>
                <w:color w:val="auto"/>
                <w:kern w:val="0"/>
                <w:sz w:val="18"/>
                <w:szCs w:val="18"/>
                <w:vertAlign w:val="superscript"/>
              </w:rPr>
              <w:t>3</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628"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46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2.0</w:t>
            </w:r>
            <w:r>
              <w:rPr>
                <w:rFonts w:hint="eastAsia" w:ascii="Times New Roman" w:hAnsi="Times New Roman" w:eastAsia="宋体" w:cs="Times New Roman"/>
                <w:color w:val="auto"/>
                <w:kern w:val="0"/>
                <w:sz w:val="18"/>
                <w:szCs w:val="18"/>
              </w:rPr>
              <w:t>（测定均值）</w:t>
            </w:r>
          </w:p>
        </w:tc>
        <w:tc>
          <w:tcPr>
            <w:tcW w:w="159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Cs/>
                <w:color w:val="auto"/>
                <w:kern w:val="0"/>
                <w:sz w:val="18"/>
                <w:szCs w:val="18"/>
              </w:rPr>
            </w:pPr>
            <w:r>
              <w:rPr>
                <w:rFonts w:ascii="Times New Roman" w:hAnsi="Times New Roman" w:eastAsia="宋体" w:cs="Times New Roman"/>
                <w:color w:val="auto"/>
                <w:kern w:val="0"/>
                <w:sz w:val="18"/>
                <w:szCs w:val="18"/>
              </w:rPr>
              <w:t>—</w:t>
            </w:r>
          </w:p>
        </w:tc>
        <w:tc>
          <w:tcPr>
            <w:tcW w:w="105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05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r>
      <w:tr>
        <w:tblPrEx>
          <w:tblCellMar>
            <w:top w:w="0" w:type="dxa"/>
            <w:left w:w="108" w:type="dxa"/>
            <w:bottom w:w="0" w:type="dxa"/>
            <w:right w:w="108" w:type="dxa"/>
          </w:tblCellMar>
        </w:tblPrEx>
        <w:trPr>
          <w:trHeight w:val="397" w:hRule="atLeast"/>
          <w:jc w:val="center"/>
        </w:trPr>
        <w:tc>
          <w:tcPr>
            <w:tcW w:w="286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hint="eastAsia" w:ascii="Times New Roman" w:hAnsi="Times New Roman" w:eastAsia="宋体" w:cs="Times New Roman"/>
                <w:color w:val="auto"/>
                <w:kern w:val="0"/>
                <w:sz w:val="18"/>
                <w:szCs w:val="18"/>
              </w:rPr>
              <w:t>铬、锡、锑、铜、锰及其化合物</w:t>
            </w:r>
          </w:p>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r>
              <w:rPr>
                <w:rFonts w:hint="eastAsia" w:ascii="Times New Roman" w:hAnsi="Times New Roman" w:eastAsia="宋体" w:cs="Times New Roman"/>
                <w:color w:val="auto"/>
                <w:kern w:val="0"/>
                <w:sz w:val="18"/>
                <w:szCs w:val="18"/>
              </w:rPr>
              <w:t>以</w:t>
            </w:r>
            <w:r>
              <w:rPr>
                <w:rFonts w:ascii="Times New Roman" w:hAnsi="Times New Roman" w:eastAsia="宋体" w:cs="Times New Roman"/>
                <w:color w:val="auto"/>
                <w:kern w:val="0"/>
                <w:sz w:val="18"/>
                <w:szCs w:val="18"/>
              </w:rPr>
              <w:t>Cr+Sn+Sb+Cu+Mn</w:t>
            </w:r>
            <w:r>
              <w:rPr>
                <w:rFonts w:hint="eastAsia" w:ascii="Times New Roman" w:hAnsi="Times New Roman" w:eastAsia="宋体" w:cs="Times New Roman"/>
                <w:color w:val="auto"/>
                <w:kern w:val="0"/>
                <w:sz w:val="18"/>
                <w:szCs w:val="18"/>
              </w:rPr>
              <w:t>计</w:t>
            </w:r>
            <w:r>
              <w:rPr>
                <w:rFonts w:ascii="Times New Roman" w:hAnsi="Times New Roman" w:eastAsia="宋体" w:cs="Times New Roman"/>
                <w:color w:val="auto"/>
                <w:kern w:val="0"/>
                <w:sz w:val="18"/>
                <w:szCs w:val="18"/>
              </w:rPr>
              <w:t>)</w:t>
            </w:r>
          </w:p>
        </w:tc>
        <w:tc>
          <w:tcPr>
            <w:tcW w:w="1006"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mg/Nm</w:t>
            </w:r>
            <w:r>
              <w:rPr>
                <w:rFonts w:ascii="Times New Roman" w:hAnsi="Times New Roman" w:eastAsia="宋体" w:cs="Times New Roman"/>
                <w:color w:val="auto"/>
                <w:kern w:val="0"/>
                <w:sz w:val="18"/>
                <w:szCs w:val="18"/>
                <w:vertAlign w:val="superscript"/>
              </w:rPr>
              <w:t>3</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4.0</w:t>
            </w:r>
            <w:r>
              <w:rPr>
                <w:rFonts w:hint="eastAsia" w:ascii="Times New Roman" w:hAnsi="Times New Roman" w:eastAsia="宋体" w:cs="Times New Roman"/>
                <w:color w:val="auto"/>
                <w:kern w:val="0"/>
                <w:sz w:val="18"/>
                <w:szCs w:val="18"/>
              </w:rPr>
              <w:t>（测定均值）</w:t>
            </w:r>
          </w:p>
        </w:tc>
        <w:tc>
          <w:tcPr>
            <w:tcW w:w="1628"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46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59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Cs/>
                <w:color w:val="auto"/>
                <w:kern w:val="0"/>
                <w:sz w:val="18"/>
                <w:szCs w:val="18"/>
              </w:rPr>
            </w:pPr>
            <w:r>
              <w:rPr>
                <w:rFonts w:ascii="Times New Roman" w:hAnsi="Times New Roman" w:eastAsia="宋体" w:cs="Times New Roman"/>
                <w:color w:val="auto"/>
                <w:kern w:val="0"/>
                <w:sz w:val="18"/>
                <w:szCs w:val="18"/>
              </w:rPr>
              <w:t>—</w:t>
            </w:r>
          </w:p>
        </w:tc>
        <w:tc>
          <w:tcPr>
            <w:tcW w:w="105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05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r>
      <w:tr>
        <w:tblPrEx>
          <w:tblCellMar>
            <w:top w:w="0" w:type="dxa"/>
            <w:left w:w="108" w:type="dxa"/>
            <w:bottom w:w="0" w:type="dxa"/>
            <w:right w:w="108" w:type="dxa"/>
          </w:tblCellMar>
        </w:tblPrEx>
        <w:trPr>
          <w:trHeight w:val="397" w:hRule="atLeast"/>
          <w:jc w:val="center"/>
        </w:trPr>
        <w:tc>
          <w:tcPr>
            <w:tcW w:w="286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hint="eastAsia" w:ascii="Times New Roman" w:hAnsi="Times New Roman" w:eastAsia="宋体" w:cs="Times New Roman"/>
                <w:color w:val="auto"/>
                <w:kern w:val="0"/>
                <w:sz w:val="18"/>
                <w:szCs w:val="18"/>
              </w:rPr>
              <w:t>铬、锡、锑、铜、锰、钒及其化合物</w:t>
            </w:r>
            <w:r>
              <w:rPr>
                <w:rFonts w:ascii="Times New Roman" w:hAnsi="Times New Roman" w:eastAsia="宋体" w:cs="Times New Roman"/>
                <w:color w:val="auto"/>
                <w:kern w:val="0"/>
                <w:sz w:val="18"/>
                <w:szCs w:val="18"/>
              </w:rPr>
              <w:t>(</w:t>
            </w:r>
            <w:r>
              <w:rPr>
                <w:rFonts w:hint="eastAsia" w:ascii="Times New Roman" w:hAnsi="Times New Roman" w:eastAsia="宋体" w:cs="Times New Roman"/>
                <w:color w:val="auto"/>
                <w:kern w:val="0"/>
                <w:sz w:val="18"/>
                <w:szCs w:val="18"/>
              </w:rPr>
              <w:t>以</w:t>
            </w:r>
            <w:r>
              <w:rPr>
                <w:rFonts w:ascii="Times New Roman" w:hAnsi="Times New Roman" w:eastAsia="宋体" w:cs="Times New Roman"/>
                <w:color w:val="auto"/>
                <w:kern w:val="0"/>
                <w:sz w:val="18"/>
                <w:szCs w:val="18"/>
              </w:rPr>
              <w:t>Cr+Sn+Sb+Cu+Mn+V</w:t>
            </w:r>
            <w:r>
              <w:rPr>
                <w:rFonts w:hint="eastAsia" w:ascii="Times New Roman" w:hAnsi="Times New Roman" w:eastAsia="宋体" w:cs="Times New Roman"/>
                <w:color w:val="auto"/>
                <w:kern w:val="0"/>
                <w:sz w:val="18"/>
                <w:szCs w:val="18"/>
              </w:rPr>
              <w:t>计</w:t>
            </w:r>
            <w:r>
              <w:rPr>
                <w:rFonts w:ascii="Times New Roman" w:hAnsi="Times New Roman" w:eastAsia="宋体" w:cs="Times New Roman"/>
                <w:color w:val="auto"/>
                <w:kern w:val="0"/>
                <w:sz w:val="18"/>
                <w:szCs w:val="18"/>
              </w:rPr>
              <w:t>)</w:t>
            </w:r>
          </w:p>
        </w:tc>
        <w:tc>
          <w:tcPr>
            <w:tcW w:w="1006"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mg/Nm</w:t>
            </w:r>
            <w:r>
              <w:rPr>
                <w:rFonts w:ascii="Times New Roman" w:hAnsi="Times New Roman" w:eastAsia="宋体" w:cs="Times New Roman"/>
                <w:color w:val="auto"/>
                <w:kern w:val="0"/>
                <w:sz w:val="18"/>
                <w:szCs w:val="18"/>
                <w:vertAlign w:val="superscript"/>
              </w:rPr>
              <w:t>3</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628"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1.0</w:t>
            </w:r>
            <w:r>
              <w:rPr>
                <w:rFonts w:hint="eastAsia" w:ascii="Times New Roman" w:hAnsi="Times New Roman" w:eastAsia="宋体" w:cs="Times New Roman"/>
                <w:color w:val="auto"/>
                <w:kern w:val="0"/>
                <w:sz w:val="18"/>
                <w:szCs w:val="18"/>
              </w:rPr>
              <w:t>（测定均值）</w:t>
            </w:r>
          </w:p>
        </w:tc>
        <w:tc>
          <w:tcPr>
            <w:tcW w:w="146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59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Cs/>
                <w:color w:val="auto"/>
                <w:kern w:val="0"/>
                <w:sz w:val="18"/>
                <w:szCs w:val="18"/>
              </w:rPr>
            </w:pPr>
            <w:r>
              <w:rPr>
                <w:rFonts w:ascii="Times New Roman" w:hAnsi="Times New Roman" w:eastAsia="宋体" w:cs="Times New Roman"/>
                <w:color w:val="auto"/>
                <w:kern w:val="0"/>
                <w:sz w:val="18"/>
                <w:szCs w:val="18"/>
              </w:rPr>
              <w:t>—</w:t>
            </w:r>
          </w:p>
        </w:tc>
        <w:tc>
          <w:tcPr>
            <w:tcW w:w="105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hint="eastAsia" w:ascii="Times New Roman" w:hAnsi="Times New Roman" w:eastAsia="宋体" w:cs="Times New Roman"/>
                <w:color w:val="auto"/>
                <w:kern w:val="0"/>
                <w:sz w:val="18"/>
                <w:szCs w:val="18"/>
              </w:rPr>
              <w:t>　</w:t>
            </w:r>
          </w:p>
        </w:tc>
        <w:tc>
          <w:tcPr>
            <w:tcW w:w="105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hint="eastAsia"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r>
      <w:tr>
        <w:tblPrEx>
          <w:tblCellMar>
            <w:top w:w="0" w:type="dxa"/>
            <w:left w:w="108" w:type="dxa"/>
            <w:bottom w:w="0" w:type="dxa"/>
            <w:right w:w="108" w:type="dxa"/>
          </w:tblCellMar>
        </w:tblPrEx>
        <w:trPr>
          <w:trHeight w:val="397" w:hRule="atLeast"/>
          <w:jc w:val="center"/>
        </w:trPr>
        <w:tc>
          <w:tcPr>
            <w:tcW w:w="286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hint="eastAsia" w:ascii="Times New Roman" w:hAnsi="Times New Roman" w:eastAsia="宋体" w:cs="Times New Roman"/>
                <w:color w:val="auto"/>
                <w:kern w:val="0"/>
                <w:sz w:val="18"/>
                <w:szCs w:val="18"/>
              </w:rPr>
              <w:t>锑、砷、铅、铬、钴、铜、锰、镍、钒及其化合物</w:t>
            </w:r>
            <w:r>
              <w:rPr>
                <w:rFonts w:ascii="Times New Roman" w:hAnsi="Times New Roman" w:eastAsia="宋体" w:cs="Times New Roman"/>
                <w:color w:val="auto"/>
                <w:kern w:val="0"/>
                <w:sz w:val="18"/>
                <w:szCs w:val="18"/>
              </w:rPr>
              <w:t>(</w:t>
            </w:r>
            <w:r>
              <w:rPr>
                <w:rFonts w:hint="eastAsia" w:ascii="Times New Roman" w:hAnsi="Times New Roman" w:eastAsia="宋体" w:cs="Times New Roman"/>
                <w:color w:val="auto"/>
                <w:kern w:val="0"/>
                <w:sz w:val="18"/>
                <w:szCs w:val="18"/>
              </w:rPr>
              <w:t>以</w:t>
            </w:r>
            <w:r>
              <w:rPr>
                <w:rFonts w:ascii="Times New Roman" w:hAnsi="Times New Roman" w:eastAsia="宋体" w:cs="Times New Roman"/>
                <w:color w:val="auto"/>
                <w:kern w:val="0"/>
                <w:sz w:val="18"/>
                <w:szCs w:val="18"/>
              </w:rPr>
              <w:t>Sb+As+Pb+Cr+Co+Cu+Mn+Ni</w:t>
            </w:r>
            <w:r>
              <w:rPr>
                <w:rFonts w:hint="eastAsia" w:ascii="Times New Roman" w:hAnsi="Times New Roman" w:eastAsia="宋体" w:cs="Times New Roman"/>
                <w:color w:val="auto"/>
                <w:kern w:val="0"/>
                <w:sz w:val="18"/>
                <w:szCs w:val="18"/>
              </w:rPr>
              <w:t>计</w:t>
            </w:r>
            <w:r>
              <w:rPr>
                <w:rFonts w:ascii="Times New Roman" w:hAnsi="Times New Roman" w:eastAsia="宋体" w:cs="Times New Roman"/>
                <w:color w:val="auto"/>
                <w:kern w:val="0"/>
                <w:sz w:val="18"/>
                <w:szCs w:val="18"/>
              </w:rPr>
              <w:t>)</w:t>
            </w:r>
          </w:p>
        </w:tc>
        <w:tc>
          <w:tcPr>
            <w:tcW w:w="1006"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mg/Nm</w:t>
            </w:r>
            <w:r>
              <w:rPr>
                <w:rFonts w:ascii="Times New Roman" w:hAnsi="Times New Roman" w:eastAsia="宋体" w:cs="Times New Roman"/>
                <w:color w:val="auto"/>
                <w:kern w:val="0"/>
                <w:sz w:val="18"/>
                <w:szCs w:val="18"/>
                <w:vertAlign w:val="superscript"/>
              </w:rPr>
              <w:t>3</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628"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46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c>
          <w:tcPr>
            <w:tcW w:w="159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Cs/>
                <w:color w:val="auto"/>
                <w:kern w:val="0"/>
                <w:sz w:val="18"/>
                <w:szCs w:val="18"/>
              </w:rPr>
            </w:pPr>
            <w:r>
              <w:rPr>
                <w:rFonts w:ascii="Times New Roman" w:hAnsi="Times New Roman" w:eastAsia="宋体" w:cs="Times New Roman"/>
                <w:color w:val="auto"/>
                <w:kern w:val="0"/>
                <w:sz w:val="18"/>
                <w:szCs w:val="18"/>
              </w:rPr>
              <w:t>—</w:t>
            </w:r>
          </w:p>
        </w:tc>
        <w:tc>
          <w:tcPr>
            <w:tcW w:w="105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0.5</w:t>
            </w:r>
          </w:p>
        </w:tc>
        <w:tc>
          <w:tcPr>
            <w:tcW w:w="105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w:t>
            </w:r>
          </w:p>
        </w:tc>
      </w:tr>
      <w:tr>
        <w:tblPrEx>
          <w:tblCellMar>
            <w:top w:w="0" w:type="dxa"/>
            <w:left w:w="108" w:type="dxa"/>
            <w:bottom w:w="0" w:type="dxa"/>
            <w:right w:w="108" w:type="dxa"/>
          </w:tblCellMar>
        </w:tblPrEx>
        <w:trPr>
          <w:trHeight w:val="397" w:hRule="atLeast"/>
          <w:jc w:val="center"/>
        </w:trPr>
        <w:tc>
          <w:tcPr>
            <w:tcW w:w="286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hint="eastAsia" w:ascii="Times New Roman" w:hAnsi="Times New Roman" w:eastAsia="宋体" w:cs="Times New Roman"/>
                <w:color w:val="auto"/>
                <w:kern w:val="0"/>
                <w:sz w:val="18"/>
                <w:szCs w:val="18"/>
              </w:rPr>
              <w:t>二噁英类</w:t>
            </w:r>
          </w:p>
        </w:tc>
        <w:tc>
          <w:tcPr>
            <w:tcW w:w="1006"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bookmarkStart w:id="122" w:name="_Hlk109296020"/>
            <w:r>
              <w:rPr>
                <w:rFonts w:ascii="Times New Roman" w:hAnsi="Times New Roman" w:eastAsia="宋体" w:cs="Times New Roman"/>
                <w:color w:val="auto"/>
                <w:kern w:val="0"/>
                <w:sz w:val="18"/>
                <w:szCs w:val="18"/>
              </w:rPr>
              <w:t>ng-TEQ/Nm</w:t>
            </w:r>
            <w:r>
              <w:rPr>
                <w:rFonts w:ascii="Times New Roman" w:hAnsi="Times New Roman" w:eastAsia="宋体" w:cs="Times New Roman"/>
                <w:color w:val="auto"/>
                <w:kern w:val="0"/>
                <w:sz w:val="18"/>
                <w:szCs w:val="18"/>
                <w:vertAlign w:val="superscript"/>
              </w:rPr>
              <w:t>3</w:t>
            </w:r>
            <w:bookmarkEnd w:id="122"/>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0.5（测定均值）</w:t>
            </w:r>
          </w:p>
        </w:tc>
        <w:tc>
          <w:tcPr>
            <w:tcW w:w="162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0.1</w:t>
            </w:r>
            <w:r>
              <w:rPr>
                <w:rFonts w:hint="eastAsia" w:ascii="Times New Roman" w:hAnsi="Times New Roman" w:eastAsia="宋体" w:cs="Times New Roman"/>
                <w:color w:val="auto"/>
                <w:kern w:val="0"/>
                <w:sz w:val="18"/>
                <w:szCs w:val="18"/>
              </w:rPr>
              <w:t>（测定均值）</w:t>
            </w:r>
          </w:p>
        </w:tc>
        <w:tc>
          <w:tcPr>
            <w:tcW w:w="1628"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0.1</w:t>
            </w:r>
            <w:r>
              <w:rPr>
                <w:rFonts w:hint="eastAsia" w:ascii="Times New Roman" w:hAnsi="Times New Roman" w:eastAsia="宋体" w:cs="Times New Roman"/>
                <w:color w:val="auto"/>
                <w:kern w:val="0"/>
                <w:sz w:val="18"/>
                <w:szCs w:val="18"/>
              </w:rPr>
              <w:t>（测定均值）</w:t>
            </w:r>
          </w:p>
        </w:tc>
        <w:tc>
          <w:tcPr>
            <w:tcW w:w="146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color w:val="auto"/>
                <w:kern w:val="0"/>
                <w:sz w:val="18"/>
                <w:szCs w:val="18"/>
              </w:rPr>
              <w:t>0.1</w:t>
            </w:r>
            <w:r>
              <w:rPr>
                <w:rFonts w:hint="eastAsia" w:ascii="Times New Roman" w:hAnsi="Times New Roman" w:eastAsia="宋体" w:cs="Times New Roman"/>
                <w:color w:val="auto"/>
                <w:kern w:val="0"/>
                <w:sz w:val="18"/>
                <w:szCs w:val="18"/>
              </w:rPr>
              <w:t>（测定均值）</w:t>
            </w:r>
          </w:p>
        </w:tc>
        <w:tc>
          <w:tcPr>
            <w:tcW w:w="159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Cs/>
                <w:color w:val="auto"/>
                <w:kern w:val="0"/>
                <w:sz w:val="18"/>
                <w:szCs w:val="18"/>
              </w:rPr>
            </w:pPr>
            <w:r>
              <w:rPr>
                <w:rFonts w:ascii="Times New Roman" w:hAnsi="Times New Roman" w:eastAsia="宋体" w:cs="Times New Roman"/>
                <w:bCs/>
                <w:color w:val="auto"/>
                <w:kern w:val="0"/>
                <w:sz w:val="18"/>
                <w:szCs w:val="18"/>
              </w:rPr>
              <w:t>0.1</w:t>
            </w:r>
            <w:r>
              <w:rPr>
                <w:rFonts w:hint="eastAsia" w:ascii="Times New Roman" w:hAnsi="Times New Roman" w:eastAsia="宋体" w:cs="Times New Roman"/>
                <w:color w:val="auto"/>
                <w:kern w:val="0"/>
                <w:sz w:val="18"/>
                <w:szCs w:val="18"/>
              </w:rPr>
              <w:t>（测定均值）</w:t>
            </w:r>
          </w:p>
        </w:tc>
        <w:tc>
          <w:tcPr>
            <w:tcW w:w="105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bCs/>
                <w:color w:val="auto"/>
                <w:kern w:val="0"/>
                <w:sz w:val="18"/>
                <w:szCs w:val="18"/>
              </w:rPr>
            </w:pPr>
            <w:r>
              <w:rPr>
                <w:rFonts w:ascii="Times New Roman" w:hAnsi="Times New Roman" w:eastAsia="宋体" w:cs="Times New Roman"/>
                <w:color w:val="auto"/>
                <w:kern w:val="0"/>
                <w:sz w:val="18"/>
                <w:szCs w:val="18"/>
              </w:rPr>
              <w:t>0.1</w:t>
            </w:r>
          </w:p>
        </w:tc>
        <w:tc>
          <w:tcPr>
            <w:tcW w:w="1055" w:type="dxa"/>
            <w:tcBorders>
              <w:top w:val="single" w:color="auto" w:sz="4" w:space="0"/>
              <w:left w:val="single" w:color="auto" w:sz="4" w:space="0"/>
              <w:bottom w:val="single" w:color="auto" w:sz="4" w:space="0"/>
              <w:right w:val="single" w:color="auto" w:sz="4" w:space="0"/>
            </w:tcBorders>
            <w:shd w:val="clear" w:color="000000" w:fill="FFFFFF"/>
            <w:vAlign w:val="center"/>
          </w:tcPr>
          <w:p>
            <w:pPr>
              <w:widowControl/>
              <w:adjustRightInd w:val="0"/>
              <w:snapToGrid w:val="0"/>
              <w:jc w:val="center"/>
              <w:rPr>
                <w:rFonts w:ascii="Times New Roman" w:hAnsi="Times New Roman" w:eastAsia="宋体" w:cs="Times New Roman"/>
                <w:color w:val="auto"/>
                <w:kern w:val="0"/>
                <w:sz w:val="18"/>
                <w:szCs w:val="18"/>
              </w:rPr>
            </w:pPr>
            <w:r>
              <w:rPr>
                <w:rFonts w:ascii="Times New Roman" w:hAnsi="Times New Roman" w:eastAsia="宋体" w:cs="Times New Roman"/>
                <w:bCs/>
                <w:color w:val="auto"/>
                <w:kern w:val="0"/>
                <w:sz w:val="18"/>
                <w:szCs w:val="18"/>
              </w:rPr>
              <w:t>0.04</w:t>
            </w:r>
          </w:p>
        </w:tc>
      </w:tr>
    </w:tbl>
    <w:p>
      <w:pPr>
        <w:spacing w:line="336" w:lineRule="auto"/>
        <w:rPr>
          <w:rFonts w:ascii="Times New Roman" w:hAnsi="Times New Roman" w:eastAsia="宋体" w:cs="Times New Roman"/>
          <w:color w:val="auto"/>
          <w:kern w:val="0"/>
          <w:szCs w:val="21"/>
        </w:rPr>
      </w:pPr>
    </w:p>
    <w:p>
      <w:pPr>
        <w:spacing w:line="336" w:lineRule="auto"/>
        <w:rPr>
          <w:rFonts w:ascii="Times New Roman" w:hAnsi="Times New Roman" w:eastAsia="宋体" w:cs="Times New Roman"/>
          <w:color w:val="auto"/>
          <w:kern w:val="0"/>
          <w:szCs w:val="21"/>
        </w:rPr>
        <w:sectPr>
          <w:pgSz w:w="16838" w:h="11906" w:orient="landscape"/>
          <w:pgMar w:top="1800" w:right="1440" w:bottom="1800" w:left="1440" w:header="851" w:footer="992" w:gutter="0"/>
          <w:cols w:space="425" w:num="1"/>
          <w:docGrid w:type="lines" w:linePitch="312" w:charSpace="0"/>
        </w:sectPr>
      </w:pPr>
    </w:p>
    <w:p>
      <w:pPr>
        <w:pStyle w:val="3"/>
        <w:rPr>
          <w:rFonts w:cs="Times New Roman"/>
          <w:color w:val="auto"/>
        </w:rPr>
      </w:pPr>
      <w:bookmarkStart w:id="123" w:name="_Toc24759"/>
      <w:r>
        <w:rPr>
          <w:rFonts w:cs="Times New Roman"/>
          <w:color w:val="auto"/>
        </w:rPr>
        <w:t>突发疫情下各国医疗废物管理政策</w:t>
      </w:r>
      <w:bookmarkEnd w:id="123"/>
    </w:p>
    <w:p>
      <w:pPr>
        <w:pStyle w:val="4"/>
        <w:rPr>
          <w:rFonts w:cs="Times New Roman"/>
          <w:color w:val="auto"/>
          <w:lang w:val="zh-CN"/>
        </w:rPr>
      </w:pPr>
      <w:bookmarkStart w:id="124" w:name="_Toc1001"/>
      <w:r>
        <w:rPr>
          <w:rFonts w:hint="eastAsia" w:cs="Times New Roman"/>
          <w:color w:val="auto"/>
          <w:lang w:val="zh-CN"/>
        </w:rPr>
        <w:t>国内疫情下的医废管理</w:t>
      </w:r>
      <w:bookmarkEnd w:id="124"/>
    </w:p>
    <w:p>
      <w:pPr>
        <w:pStyle w:val="32"/>
        <w:ind w:firstLine="480"/>
        <w:rPr>
          <w:color w:val="auto"/>
        </w:rPr>
      </w:pPr>
      <w:r>
        <w:rPr>
          <w:color w:val="auto"/>
        </w:rPr>
        <w:t>2003</w:t>
      </w:r>
      <w:r>
        <w:rPr>
          <w:rFonts w:hint="eastAsia"/>
          <w:color w:val="auto"/>
        </w:rPr>
        <w:t>年“非典”疫情爆发后，我国相继出台了多项政策与法律法规，标志着我国医疗废物管理体系进入了逐步完善阶段，实现了医疗废物管理从无到有的量变到质变。针对突发疫情特殊情况，《突发公共卫生事件应急条例》自</w:t>
      </w:r>
      <w:r>
        <w:rPr>
          <w:color w:val="auto"/>
        </w:rPr>
        <w:t>2003</w:t>
      </w:r>
      <w:r>
        <w:rPr>
          <w:rFonts w:hint="eastAsia"/>
          <w:color w:val="auto"/>
        </w:rPr>
        <w:t>年</w:t>
      </w:r>
      <w:r>
        <w:rPr>
          <w:color w:val="auto"/>
        </w:rPr>
        <w:t>5</w:t>
      </w:r>
      <w:r>
        <w:rPr>
          <w:rFonts w:hint="eastAsia"/>
          <w:color w:val="auto"/>
        </w:rPr>
        <w:t>月公布并实施，随后陆续发布《应对甲型</w:t>
      </w:r>
      <w:r>
        <w:rPr>
          <w:color w:val="auto"/>
        </w:rPr>
        <w:t>H1N1</w:t>
      </w:r>
      <w:r>
        <w:rPr>
          <w:rFonts w:hint="eastAsia"/>
          <w:color w:val="auto"/>
        </w:rPr>
        <w:t>流感疫情医疗废物管理预案》（</w:t>
      </w:r>
      <w:r>
        <w:rPr>
          <w:rFonts w:hint="eastAsia" w:hAnsi="宋体"/>
          <w:color w:val="auto"/>
        </w:rPr>
        <w:t>环办</w:t>
      </w:r>
      <w:r>
        <w:rPr>
          <w:rFonts w:hAnsi="宋体"/>
          <w:color w:val="auto"/>
        </w:rPr>
        <w:t>）[2009]65</w:t>
      </w:r>
      <w:r>
        <w:rPr>
          <w:rFonts w:hint="eastAsia" w:hAnsi="宋体"/>
          <w:color w:val="auto"/>
        </w:rPr>
        <w:t>号</w:t>
      </w:r>
      <w:r>
        <w:rPr>
          <w:rFonts w:hint="eastAsia"/>
          <w:color w:val="auto"/>
        </w:rPr>
        <w:t>）、“国务院办公厅关于印发国家突发环境事件应急预案的通知”等相关政策和指导意见。此次“新冠”疫情爆发，针对我国现有医疗废物处置行业整体产能偏低、集中处置单位分布不均、处置工艺水平落后、处置设施老化等集中问题与矛盾，国家部门迅速做出应对，印发了“医疗废物集中处置设施能力建设实施方案”、“关于做好新型冠状病毒感染的肺炎疫情期间医疗机构医疗废物管理工作的通知”、“关于开展医疗机构废弃物专项整治工作的通知”等。</w:t>
      </w:r>
    </w:p>
    <w:p>
      <w:pPr>
        <w:pStyle w:val="32"/>
        <w:ind w:firstLine="480"/>
        <w:rPr>
          <w:color w:val="auto"/>
        </w:rPr>
      </w:pPr>
      <w:r>
        <w:rPr>
          <w:rFonts w:hint="eastAsia"/>
          <w:color w:val="auto"/>
        </w:rPr>
        <w:t>疫情期间的医疗废物具有产生量大、污染性强、比重较低的特点。除了常规医疗废物，对于疑似患者发热门诊和病区产生的废弃物，包括医疗废物和生活垃圾，均应当按照医疗废物进行分类收集。疫情爆发初期，医疗废物集中处置设施应急处置能力储备并不充足，</w:t>
      </w:r>
      <w:r>
        <w:rPr>
          <w:color w:val="auto"/>
        </w:rPr>
        <w:t>2018年我国医废处置设施的整体负荷率高达76%，可直接调配的医废应急处置能力极为有限。</w:t>
      </w:r>
      <w:r>
        <w:rPr>
          <w:rFonts w:hint="eastAsia"/>
          <w:color w:val="auto"/>
        </w:rPr>
        <w:t>因此，集中处置设施、危险废物焚烧设施、生活垃圾焚烧设施、移动式处置设施、水泥窑协同、医疗机构自备处置设施等纷纷纳入疫情期间的医疗废物处置体系。</w:t>
      </w:r>
    </w:p>
    <w:p>
      <w:pPr>
        <w:pStyle w:val="32"/>
        <w:ind w:firstLine="480"/>
        <w:rPr>
          <w:color w:val="auto"/>
        </w:rPr>
      </w:pPr>
      <w:r>
        <w:rPr>
          <w:rFonts w:hint="eastAsia"/>
          <w:color w:val="auto"/>
        </w:rPr>
        <w:t>其中，利用集中处置设施进行医疗废物应急处置是响应最快且风险最低的方式，通过启用备用生产线、备用设施、或延长设施的运行时间等形式实现；由于危废焚烧设施运行管理与医废焚烧设施有一定相似之处，适宜作为医废协同处置的优先备选设施，但需单独设置投加口，且应急情况下应优先处置医废；尽量不将涉疫医废直接送往生活垃圾焚烧设施处置，对需处理的感染性医废在包装、转运、处置的相关环节加强消毒处理，并需强化包装降低抓料过程的包装破损，掺烧比例不宜超过</w:t>
      </w:r>
      <w:r>
        <w:rPr>
          <w:color w:val="auto"/>
        </w:rPr>
        <w:t>5%；医废热值</w:t>
      </w:r>
      <w:r>
        <w:rPr>
          <w:rFonts w:hint="eastAsia"/>
          <w:color w:val="auto"/>
        </w:rPr>
        <w:t>和</w:t>
      </w:r>
      <w:r>
        <w:rPr>
          <w:color w:val="auto"/>
        </w:rPr>
        <w:t>含氯量</w:t>
      </w:r>
      <w:r>
        <w:rPr>
          <w:rFonts w:hint="eastAsia"/>
          <w:color w:val="auto"/>
        </w:rPr>
        <w:t>较</w:t>
      </w:r>
      <w:r>
        <w:rPr>
          <w:color w:val="auto"/>
        </w:rPr>
        <w:t>高，投加比例不当将对水泥生产的稳定运行造成不利影响，新冠疫情之前，国内外鲜有水泥窑等工业窑炉协同处置医废的探索；移动式医废处置设施，受容量限制，通常采用非焚烧处理技术，一般规模小于5t/d；医疗机构自备处置设施曾在欧美国家较为常见，2000年以来原有的小型焚烧设施基本被非焚烧设施取代，我国在非典发生后基本未新建此类设施，极少数为原有设施。</w:t>
      </w:r>
    </w:p>
    <w:p>
      <w:pPr>
        <w:pStyle w:val="32"/>
        <w:ind w:firstLine="480"/>
        <w:rPr>
          <w:color w:val="auto"/>
        </w:rPr>
      </w:pPr>
      <w:r>
        <w:rPr>
          <w:rFonts w:hint="eastAsia"/>
          <w:color w:val="auto"/>
        </w:rPr>
        <w:t>根据发改环资</w:t>
      </w:r>
      <w:r>
        <w:rPr>
          <w:color w:val="auto"/>
        </w:rPr>
        <w:t>[2020]696</w:t>
      </w:r>
      <w:r>
        <w:rPr>
          <w:rFonts w:hint="eastAsia"/>
          <w:color w:val="auto"/>
        </w:rPr>
        <w:t>号文件“关于印发《医疗废物集中处置设施能力建设实施方案》的通知”，针对医疗废物的应急处置，需“积极推进大城市医疗废物集中处置设施应急备用能力建设，</w:t>
      </w:r>
      <w:r>
        <w:rPr>
          <w:color w:val="auto"/>
        </w:rPr>
        <w:t xml:space="preserve"> </w:t>
      </w:r>
      <w:r>
        <w:rPr>
          <w:rFonts w:hint="eastAsia"/>
          <w:color w:val="auto"/>
        </w:rPr>
        <w:t>大力推进现有医疗废物集中处置设施扩能提质”。突发公共事件尤其是大规模疫情的爆发，为我国的医废处置行业敲响了警钟，无论是医疗废物集中处置设施能力建设还是应急处置设施能力建设，都亟待提高和完善。同时，针对大规模的医疗废物集中处置，对适宜的处理处置技术和污染控制手段的选择提出了相当高的要求，采用新技术、新设备补齐短板的需求相当迫切，同样的，配套标准规范的制定和实施亦必不可少。</w:t>
      </w:r>
    </w:p>
    <w:p>
      <w:pPr>
        <w:pStyle w:val="32"/>
        <w:ind w:firstLine="480"/>
        <w:rPr>
          <w:color w:val="auto"/>
        </w:rPr>
      </w:pPr>
      <w:r>
        <w:rPr>
          <w:rFonts w:hint="eastAsia"/>
          <w:color w:val="auto"/>
        </w:rPr>
        <w:t>生态环境部于2020年1月28日印发的</w:t>
      </w:r>
      <w:bookmarkStart w:id="125" w:name="_Hlk104449338"/>
      <w:r>
        <w:rPr>
          <w:rFonts w:hint="eastAsia"/>
          <w:color w:val="auto"/>
        </w:rPr>
        <w:t>《</w:t>
      </w:r>
      <w:r>
        <w:rPr>
          <w:rFonts w:hint="eastAsia"/>
          <w:color w:val="auto"/>
          <w:shd w:val="clear" w:color="auto" w:fill="FFFFFF"/>
        </w:rPr>
        <w:t>新型冠状病毒感染的肺炎疫情医疗废物应急处置管理与技术指南（试行）</w:t>
      </w:r>
      <w:r>
        <w:rPr>
          <w:rFonts w:hint="eastAsia"/>
          <w:color w:val="auto"/>
        </w:rPr>
        <w:t>》</w:t>
      </w:r>
      <w:bookmarkEnd w:id="125"/>
      <w:r>
        <w:rPr>
          <w:rFonts w:hint="eastAsia"/>
          <w:color w:val="auto"/>
        </w:rPr>
        <w:t>指出，“科学选择应急处置方式。各地可根据本地区情况，因地制宜选择肺炎疫情医疗废物应急处置技术路线。新型冠状病毒感染的肺炎患者产生的医疗废物，宜采用高温焚烧方式处置，也可以采用高温蒸汽消毒、微波消毒、化学消毒等非焚烧方式处置，并确保处置效果。”</w:t>
      </w:r>
    </w:p>
    <w:p>
      <w:pPr>
        <w:pStyle w:val="32"/>
        <w:ind w:firstLine="480"/>
        <w:rPr>
          <w:color w:val="auto"/>
        </w:rPr>
      </w:pPr>
      <w:r>
        <w:rPr>
          <w:rFonts w:hint="eastAsia"/>
          <w:color w:val="auto"/>
        </w:rPr>
        <w:t>为指导各地科学消毒、精准消毒，国务院应对新型冠状病毒肺炎疫情联防联控机制综合组于2</w:t>
      </w:r>
      <w:r>
        <w:rPr>
          <w:color w:val="auto"/>
        </w:rPr>
        <w:t>020</w:t>
      </w:r>
      <w:r>
        <w:rPr>
          <w:rFonts w:hint="eastAsia"/>
          <w:color w:val="auto"/>
        </w:rPr>
        <w:t>年</w:t>
      </w:r>
      <w:r>
        <w:rPr>
          <w:color w:val="auto"/>
        </w:rPr>
        <w:t>2</w:t>
      </w:r>
      <w:r>
        <w:rPr>
          <w:rFonts w:hint="eastAsia"/>
          <w:color w:val="auto"/>
        </w:rPr>
        <w:t>月2</w:t>
      </w:r>
      <w:r>
        <w:rPr>
          <w:color w:val="auto"/>
        </w:rPr>
        <w:t>9</w:t>
      </w:r>
      <w:r>
        <w:rPr>
          <w:rFonts w:hint="eastAsia"/>
          <w:color w:val="auto"/>
        </w:rPr>
        <w:t>日发布了</w:t>
      </w:r>
      <w:bookmarkStart w:id="126" w:name="_Hlk104449410"/>
      <w:r>
        <w:rPr>
          <w:rFonts w:hint="eastAsia"/>
          <w:color w:val="auto"/>
        </w:rPr>
        <w:t>《关于进一步规范和加强新冠肺炎流行期间消毒工作的通知》</w:t>
      </w:r>
      <w:bookmarkEnd w:id="126"/>
      <w:r>
        <w:rPr>
          <w:rFonts w:hint="eastAsia"/>
          <w:color w:val="auto"/>
        </w:rPr>
        <w:t>，指出“各地要以《中华人民共和国传染病防治法》为依据，按照《新型冠状病毒肺炎防控方案（第五版）》、《疫源地消毒总则》（</w:t>
      </w:r>
      <w:r>
        <w:rPr>
          <w:color w:val="auto"/>
        </w:rPr>
        <w:t>GB19193-2015）、《疫源地消毒剂卫生要求》（GB27953-2011）等方案和标准开展医疗机构、病例居住过的场所、转运车辆等特定场所的消毒。工作场所、公共场所、社区和学校等场所的预防性消毒方法参照《关于依法科学精准做好新冠肺炎疫情防控工作的通知》（联防联控机制发〔2020〕28号）和《消毒剂使用指南》（国卫办监督函〔2020〕147号）进行。</w:t>
      </w:r>
      <w:r>
        <w:rPr>
          <w:rFonts w:hint="eastAsia"/>
          <w:color w:val="auto"/>
        </w:rPr>
        <w:t>”</w:t>
      </w:r>
    </w:p>
    <w:p>
      <w:pPr>
        <w:pStyle w:val="32"/>
        <w:ind w:firstLine="480"/>
        <w:rPr>
          <w:color w:val="auto"/>
        </w:rPr>
      </w:pPr>
      <w:r>
        <w:rPr>
          <w:rFonts w:hint="eastAsia"/>
          <w:color w:val="auto"/>
        </w:rPr>
        <w:t>虽然我国已经基本形成医疗废物管理法律体系，但新冠肺炎疫情防控过程中仍暴露出在医疗废物管理方面缺乏专门立法、现行法律规定中应急管理体系及相关保障措施不完备、处理流程不规范等问题。</w:t>
      </w:r>
    </w:p>
    <w:p>
      <w:pPr>
        <w:pStyle w:val="4"/>
        <w:rPr>
          <w:rFonts w:cs="Times New Roman"/>
          <w:color w:val="auto"/>
          <w:lang w:val="zh-CN"/>
        </w:rPr>
      </w:pPr>
      <w:bookmarkStart w:id="127" w:name="_Toc4673"/>
      <w:r>
        <w:rPr>
          <w:rFonts w:hint="eastAsia" w:cs="Times New Roman"/>
          <w:color w:val="auto"/>
          <w:lang w:val="zh-CN"/>
        </w:rPr>
        <w:t>国外疫情下的医废管理</w:t>
      </w:r>
      <w:bookmarkEnd w:id="127"/>
    </w:p>
    <w:p>
      <w:pPr>
        <w:pStyle w:val="32"/>
        <w:ind w:firstLine="480"/>
        <w:rPr>
          <w:color w:val="auto"/>
        </w:rPr>
      </w:pPr>
      <w:r>
        <w:rPr>
          <w:rFonts w:hint="eastAsia"/>
          <w:color w:val="auto"/>
        </w:rPr>
        <w:t>联合国环境规划署在新冠疫情爆发后，编制了关于医疗废物管理和处置的针对性指导文件《新冠病毒废物管理情况介绍》（</w:t>
      </w:r>
      <w:r>
        <w:rPr>
          <w:color w:val="auto"/>
        </w:rPr>
        <w:t>COVID-19 waste management factsheet</w:t>
      </w:r>
      <w:r>
        <w:rPr>
          <w:rFonts w:hint="eastAsia"/>
          <w:color w:val="auto"/>
        </w:rPr>
        <w:t>）。对于突发大规模疫情下医疗废弃物处理处置的应急管理，各国多制定有相应的应急预案及配套机制，呈现出不同特点。</w:t>
      </w:r>
    </w:p>
    <w:p>
      <w:pPr>
        <w:pStyle w:val="32"/>
        <w:ind w:firstLine="480"/>
        <w:rPr>
          <w:color w:val="auto"/>
        </w:rPr>
      </w:pPr>
      <w:r>
        <w:rPr>
          <w:rFonts w:hint="eastAsia"/>
          <w:color w:val="auto"/>
        </w:rPr>
        <w:t>（</w:t>
      </w:r>
      <w:r>
        <w:rPr>
          <w:color w:val="auto"/>
        </w:rPr>
        <w:t>1</w:t>
      </w:r>
      <w:r>
        <w:rPr>
          <w:rFonts w:hint="eastAsia"/>
          <w:color w:val="auto"/>
        </w:rPr>
        <w:t>）美国：美国的疾病控制与预防中心在突发公共健康事件中负责制定相关指南及文件。如在埃博拉病毒防疫期间，除了地方政府颁布的各项法规发挥着重要指导作用，美国疾病控制与预防中心发布了《埃博拉相关废物管理指南》等一系列文件，帮助医疗机构对疫情造成的医疗废物进行管理及处置。指南中将埃博拉病毒污染（或者潜在污染）的废物划分为</w:t>
      </w:r>
      <w:r>
        <w:rPr>
          <w:color w:val="auto"/>
        </w:rPr>
        <w:t>A类危险性感染类废物，需依照相关法规进行灭活或焚化。</w:t>
      </w:r>
    </w:p>
    <w:p>
      <w:pPr>
        <w:pStyle w:val="32"/>
        <w:ind w:firstLine="480"/>
        <w:rPr>
          <w:color w:val="auto"/>
        </w:rPr>
      </w:pPr>
      <w:r>
        <w:rPr>
          <w:rFonts w:hint="eastAsia"/>
          <w:color w:val="auto"/>
        </w:rPr>
        <w:t>（</w:t>
      </w:r>
      <w:r>
        <w:rPr>
          <w:color w:val="auto"/>
        </w:rPr>
        <w:t>2</w:t>
      </w:r>
      <w:r>
        <w:rPr>
          <w:rFonts w:hint="eastAsia"/>
          <w:color w:val="auto"/>
        </w:rPr>
        <w:t>）德国：由于德国的《医疗机构处置废物的执法协助》中，已对各类感染性医疗废物做了详细的区分，故德国较少针对特定疫情发布指南。疫情发生时，责任机构能迅速在文中查找到对应的处置工艺及处置要求，立即开展感染性废弃物的收集和处置工作。德国联邦卫生部的下属机构罗伯特·科赫研究所在突发疫情时，能够为政府部门提供专业咨询。在此次</w:t>
      </w:r>
      <w:r>
        <w:rPr>
          <w:color w:val="auto"/>
        </w:rPr>
        <w:t xml:space="preserve"> </w:t>
      </w:r>
      <w:r>
        <w:rPr>
          <w:rFonts w:hint="eastAsia"/>
          <w:color w:val="auto"/>
        </w:rPr>
        <w:t>“新冠”肺炎疫情中，德国联邦政府就根据罗伯特·科赫研究所建议，宣布有关的医疗废物按照《医疗机构处置废物的执法协助》中相关标准进行处置</w:t>
      </w:r>
      <w:r>
        <w:rPr>
          <w:color w:val="auto"/>
        </w:rPr>
        <w:t>。</w:t>
      </w:r>
    </w:p>
    <w:p>
      <w:pPr>
        <w:pStyle w:val="32"/>
        <w:ind w:firstLine="480"/>
        <w:rPr>
          <w:color w:val="auto"/>
        </w:rPr>
      </w:pPr>
      <w:r>
        <w:rPr>
          <w:rFonts w:hint="eastAsia"/>
          <w:color w:val="auto"/>
        </w:rPr>
        <w:t>（</w:t>
      </w:r>
      <w:r>
        <w:rPr>
          <w:color w:val="auto"/>
        </w:rPr>
        <w:t>3</w:t>
      </w:r>
      <w:r>
        <w:rPr>
          <w:rFonts w:hint="eastAsia"/>
          <w:color w:val="auto"/>
        </w:rPr>
        <w:t>）日本：由环境部门负责建立突发情况下的医疗废物处理应急机制。在</w:t>
      </w:r>
      <w:r>
        <w:rPr>
          <w:color w:val="auto"/>
        </w:rPr>
        <w:t>2009年的禽流感疫情和2019年的埃博拉出血热疫情中，日本环境省分别编制印发了《应对新型流感的废弃物处理对策指南》和《关于应对埃博拉出血热的废弃物处理的通知》指导相关工作的开展。随着此次新冠肺炎疫情在日本国内日益扩大，日本环境省不仅发布了《关于应对新型冠状病毒的废弃物处理对策》等文件，还专门成立了“新型冠状病毒感染症对策本部”负责疫情应对工作。</w:t>
      </w:r>
    </w:p>
    <w:p>
      <w:pPr>
        <w:pStyle w:val="32"/>
        <w:ind w:firstLine="480"/>
        <w:rPr>
          <w:color w:val="auto"/>
        </w:rPr>
      </w:pPr>
      <w:r>
        <w:rPr>
          <w:rFonts w:hint="eastAsia"/>
          <w:color w:val="auto"/>
        </w:rPr>
        <w:t>值得一提的是，疫情期间我国的医疗废物管理体系和处置技术一直处于国际上较为领先的地位，由我国编制的《新冠肺炎疫情期间中国医疗废物管理培训指南》（</w:t>
      </w:r>
      <w:r>
        <w:rPr>
          <w:color w:val="auto"/>
        </w:rPr>
        <w:t>Training Guidance for the Management of Medical Waste during the COVID-19 Outbreak in China</w:t>
      </w:r>
      <w:r>
        <w:rPr>
          <w:rFonts w:hint="eastAsia"/>
          <w:color w:val="auto"/>
        </w:rPr>
        <w:t>）在联合国工业发展组织（</w:t>
      </w:r>
      <w:r>
        <w:rPr>
          <w:color w:val="auto"/>
        </w:rPr>
        <w:t>UNIDO</w:t>
      </w:r>
      <w:r>
        <w:rPr>
          <w:rFonts w:hint="eastAsia"/>
          <w:color w:val="auto"/>
        </w:rPr>
        <w:t>）网站刊发，供各国家和地区学习借鉴。医疗废物处置的新技术、新设备的开发和应用，有利于推动我国乃至全球整个医废处置行业的技术发展。</w:t>
      </w:r>
    </w:p>
    <w:p>
      <w:pPr>
        <w:pStyle w:val="4"/>
        <w:rPr>
          <w:color w:val="auto"/>
        </w:rPr>
      </w:pPr>
      <w:bookmarkStart w:id="128" w:name="_Toc9504"/>
      <w:r>
        <w:rPr>
          <w:rFonts w:hint="eastAsia"/>
          <w:color w:val="auto"/>
        </w:rPr>
        <w:t>疫情下医废管理特点</w:t>
      </w:r>
      <w:bookmarkEnd w:id="128"/>
    </w:p>
    <w:p>
      <w:pPr>
        <w:pStyle w:val="32"/>
        <w:ind w:firstLine="480"/>
        <w:rPr>
          <w:color w:val="auto"/>
        </w:rPr>
      </w:pPr>
      <w:r>
        <w:rPr>
          <w:rFonts w:hint="eastAsia"/>
          <w:color w:val="auto"/>
        </w:rPr>
        <w:t>疫情等突发卫生事件中，医疗废物的概念已经远远超出医疗机构和医疗过程，用“涉疫废物”的描述更为恰当，其产生场所衍生至集中医学隔离点、居家隔离点、核酸检测点、可能携带病毒的物资集中贮存区等等。因此疫情下医疗废物的来源更为复杂、涉及主体更为广泛。</w:t>
      </w:r>
    </w:p>
    <w:p>
      <w:pPr>
        <w:pStyle w:val="32"/>
        <w:ind w:firstLine="480"/>
        <w:rPr>
          <w:color w:val="auto"/>
        </w:rPr>
      </w:pPr>
      <w:r>
        <w:rPr>
          <w:rFonts w:hint="eastAsia"/>
          <w:color w:val="auto"/>
        </w:rPr>
        <w:t>同时，疫情下的医疗废物管理呈现出紧急、紧迫的处置需求。根据相关法律法规及标准规范要求，为确保安全，涉疫废物要求日产日清、及时处置、不得贮存超时等严格规定，这就暴露出部分地区医疗废物处置设施处置能力不足、转运负荷超限、安全隐患等问题。</w:t>
      </w:r>
    </w:p>
    <w:p>
      <w:pPr>
        <w:pStyle w:val="3"/>
        <w:rPr>
          <w:rFonts w:cs="Times New Roman"/>
          <w:color w:val="auto"/>
        </w:rPr>
      </w:pPr>
      <w:bookmarkStart w:id="129" w:name="_Toc446"/>
      <w:r>
        <w:rPr>
          <w:rFonts w:hint="eastAsia" w:cs="Times New Roman"/>
          <w:color w:val="auto"/>
        </w:rPr>
        <w:t>江苏省地方</w:t>
      </w:r>
      <w:r>
        <w:rPr>
          <w:rFonts w:cs="Times New Roman"/>
          <w:color w:val="auto"/>
        </w:rPr>
        <w:t>医疗废物</w:t>
      </w:r>
      <w:r>
        <w:rPr>
          <w:rFonts w:hint="eastAsia" w:cs="Times New Roman"/>
          <w:color w:val="auto"/>
        </w:rPr>
        <w:t>管理</w:t>
      </w:r>
      <w:r>
        <w:rPr>
          <w:rFonts w:cs="Times New Roman"/>
          <w:color w:val="auto"/>
        </w:rPr>
        <w:t>政策</w:t>
      </w:r>
      <w:bookmarkEnd w:id="129"/>
    </w:p>
    <w:p>
      <w:pPr>
        <w:pStyle w:val="4"/>
        <w:rPr>
          <w:color w:val="auto"/>
        </w:rPr>
      </w:pPr>
      <w:bookmarkStart w:id="130" w:name="_Toc32612"/>
      <w:r>
        <w:rPr>
          <w:rFonts w:cs="Times New Roman"/>
          <w:color w:val="auto"/>
        </w:rPr>
        <w:t>地方政策与</w:t>
      </w:r>
      <w:r>
        <w:rPr>
          <w:rFonts w:hint="eastAsia" w:cs="Times New Roman"/>
          <w:color w:val="auto"/>
        </w:rPr>
        <w:t>要求</w:t>
      </w:r>
      <w:bookmarkEnd w:id="130"/>
    </w:p>
    <w:p>
      <w:pPr>
        <w:pStyle w:val="32"/>
        <w:ind w:firstLine="480"/>
        <w:rPr>
          <w:color w:val="auto"/>
        </w:rPr>
      </w:pPr>
      <w:r>
        <w:rPr>
          <w:rFonts w:hint="eastAsia"/>
          <w:color w:val="auto"/>
        </w:rPr>
        <w:t>新冠疫情发生以来，在国家层级一系列相关政策和规范要求的指导与引领下，各省市级地方也积极出台相应的政策鼓励新型处置技术，加强提升医疗废物处置能力，推动医废处置市场的逐步完善。以江苏省为例，将近年来陆续出台了以下政策：</w:t>
      </w:r>
    </w:p>
    <w:p>
      <w:pPr>
        <w:pStyle w:val="32"/>
        <w:ind w:firstLine="480"/>
        <w:rPr>
          <w:color w:val="auto"/>
        </w:rPr>
      </w:pPr>
      <w:r>
        <w:rPr>
          <w:color w:val="auto"/>
        </w:rPr>
        <w:t>2020年11月17日，江苏省生态环境厅发布新版《江苏省固体废物污染环境防治条例》，提出“县级以上地方人民政府应当按照全省固体废物集中处置设施建设规划和城乡规划要求，组织建设危险废物和医疗废物集中处置设施”。</w:t>
      </w:r>
    </w:p>
    <w:p>
      <w:pPr>
        <w:pStyle w:val="32"/>
        <w:ind w:firstLine="480"/>
        <w:rPr>
          <w:color w:val="auto"/>
        </w:rPr>
      </w:pPr>
      <w:r>
        <w:rPr>
          <w:rFonts w:hint="eastAsia"/>
          <w:color w:val="auto"/>
        </w:rPr>
        <w:t>2020年12月30日，江苏省政府发布《江苏省医疗机构废弃物综合治理工作实施方案》（苏卫医政[</w:t>
      </w:r>
      <w:r>
        <w:rPr>
          <w:color w:val="auto"/>
        </w:rPr>
        <w:t>2020]93</w:t>
      </w:r>
      <w:r>
        <w:rPr>
          <w:rFonts w:hint="eastAsia"/>
          <w:color w:val="auto"/>
        </w:rPr>
        <w:t>号），提出“推进医疗废物处置能力建设，补齐医疗废物处置设施短板，2020年底前实现每个设区市至少建成1个符合运行要求的医疗废物集中处置设施，2022年6月底前实现每个县（市）都建成医疗废物收集转运处置体系”的工作目标。</w:t>
      </w:r>
    </w:p>
    <w:p>
      <w:pPr>
        <w:pStyle w:val="32"/>
        <w:ind w:firstLine="480"/>
        <w:rPr>
          <w:color w:val="auto"/>
        </w:rPr>
      </w:pPr>
      <w:r>
        <w:rPr>
          <w:color w:val="auto"/>
        </w:rPr>
        <w:t>2021</w:t>
      </w:r>
      <w:r>
        <w:rPr>
          <w:rFonts w:hint="eastAsia"/>
          <w:color w:val="auto"/>
        </w:rPr>
        <w:t>年</w:t>
      </w:r>
      <w:r>
        <w:rPr>
          <w:color w:val="auto"/>
        </w:rPr>
        <w:t>8</w:t>
      </w:r>
      <w:r>
        <w:rPr>
          <w:rFonts w:hint="eastAsia"/>
          <w:color w:val="auto"/>
        </w:rPr>
        <w:t>月</w:t>
      </w:r>
      <w:r>
        <w:rPr>
          <w:color w:val="auto"/>
        </w:rPr>
        <w:t>10</w:t>
      </w:r>
      <w:r>
        <w:rPr>
          <w:rFonts w:hint="eastAsia"/>
          <w:color w:val="auto"/>
        </w:rPr>
        <w:t>日，省政府办公厅印发《江苏省“十四五”新型基础设施建设规划》（苏政办发</w:t>
      </w:r>
      <w:r>
        <w:rPr>
          <w:color w:val="auto"/>
        </w:rPr>
        <w:t>[2021]45号</w:t>
      </w:r>
      <w:r>
        <w:rPr>
          <w:rFonts w:hint="eastAsia"/>
          <w:color w:val="auto"/>
        </w:rPr>
        <w:t>)，要求“加快智能环保基础设施建设。加快建设全省水环境、大气自动监测网络、“空天地”一体化生态环境监测网络，构建集生活污水、固体废弃物、危险废物、医疗废物处理处置设施运行和监测监管于一体的城乡环境基础设施体系。”</w:t>
      </w:r>
    </w:p>
    <w:p>
      <w:pPr>
        <w:pStyle w:val="32"/>
        <w:ind w:firstLine="480"/>
        <w:rPr>
          <w:color w:val="auto"/>
        </w:rPr>
      </w:pPr>
      <w:r>
        <w:rPr>
          <w:color w:val="auto"/>
        </w:rPr>
        <w:t>2021年9月28日，省政府办公厅发布</w:t>
      </w:r>
      <w:r>
        <w:rPr>
          <w:rFonts w:hint="eastAsia"/>
          <w:color w:val="auto"/>
        </w:rPr>
        <w:t>《</w:t>
      </w:r>
      <w:r>
        <w:rPr>
          <w:color w:val="auto"/>
        </w:rPr>
        <w:t>江苏省“十四五”生态环境保护规划》(苏政办发[2021]84号)，提出“加强危险废物医疗废物收集处理，补齐医疗废物处置与应急能力短板。推进各设区市建成至少1个规范、稳定运行的医疗废物集中处置设施，推动各县（市、区）完善覆盖农村地区的医疗废物收集转运处置体系，县级以上城市建成区医疗废物全部实现无害化处置。高度重视医疗机构污水规范化处理，加强污水收集、设施运行、污泥排放的监督管理。统筹新建、在建和现有危险废物焚烧处置设施、协同处置固体废物的水泥窑、生活垃</w:t>
      </w:r>
      <w:r>
        <w:rPr>
          <w:rFonts w:hint="eastAsia"/>
          <w:color w:val="auto"/>
        </w:rPr>
        <w:t>圾焚烧设施等资源，建立协同应急处置清单，保障重大疫情医疗废物应急处置能力”。</w:t>
      </w:r>
    </w:p>
    <w:p>
      <w:pPr>
        <w:pStyle w:val="32"/>
        <w:ind w:firstLine="480"/>
        <w:rPr>
          <w:color w:val="auto"/>
        </w:rPr>
      </w:pPr>
      <w:r>
        <w:rPr>
          <w:color w:val="auto"/>
        </w:rPr>
        <w:t>2022年1月9日，省政府办公厅发布《江苏省全域“无废城市”建设工作方案》</w:t>
      </w:r>
      <w:r>
        <w:rPr>
          <w:rFonts w:hint="eastAsia"/>
          <w:color w:val="auto"/>
        </w:rPr>
        <w:t>（苏政办发</w:t>
      </w:r>
      <w:r>
        <w:rPr>
          <w:color w:val="auto"/>
        </w:rPr>
        <w:t>[2022]2号</w:t>
      </w:r>
      <w:r>
        <w:rPr>
          <w:rFonts w:hint="eastAsia"/>
          <w:color w:val="auto"/>
        </w:rPr>
        <w:t>）</w:t>
      </w:r>
      <w:r>
        <w:rPr>
          <w:color w:val="auto"/>
        </w:rPr>
        <w:t>，提出“严格做好医疗废物、生活垃圾、输液瓶（袋）等废弃物的分类投放、分类收集、分类贮存等工作。建立城乡一体的医疗废物收集转运体系，将各类医疗废物全部纳入集中处置。保持医疗废物处置能力适度富余，基本建立与经济社会发展相适应的固体废物处置体系”。</w:t>
      </w:r>
    </w:p>
    <w:p>
      <w:pPr>
        <w:pStyle w:val="32"/>
        <w:ind w:firstLine="480"/>
        <w:rPr>
          <w:color w:val="auto"/>
        </w:rPr>
      </w:pPr>
      <w:r>
        <w:rPr>
          <w:color w:val="auto"/>
        </w:rPr>
        <w:t>2022年1月28日，省政府办公厅发布《江苏省强化危险废物监管和利用处置能力改革实施方案》(</w:t>
      </w:r>
      <w:r>
        <w:rPr>
          <w:rFonts w:hint="eastAsia"/>
          <w:color w:val="auto"/>
        </w:rPr>
        <w:t>苏政办发</w:t>
      </w:r>
      <w:r>
        <w:rPr>
          <w:color w:val="auto"/>
        </w:rPr>
        <w:t>[2022]11号)，提出</w:t>
      </w:r>
      <w:r>
        <w:rPr>
          <w:rFonts w:hint="eastAsia"/>
          <w:color w:val="auto"/>
        </w:rPr>
        <w:t>“</w:t>
      </w:r>
      <w:r>
        <w:rPr>
          <w:color w:val="auto"/>
        </w:rPr>
        <w:t>县级以上城市建成区医疗废物无害化处置率达到100%</w:t>
      </w:r>
      <w:r>
        <w:rPr>
          <w:rFonts w:hint="eastAsia"/>
          <w:color w:val="auto"/>
        </w:rPr>
        <w:t>。”“</w:t>
      </w:r>
      <w:r>
        <w:rPr>
          <w:color w:val="auto"/>
        </w:rPr>
        <w:t>鼓励推广应用医疗废物集中处置新技术、新设备；鼓励发展移动式医疗废物处置设施，推广</w:t>
      </w:r>
      <w:r>
        <w:rPr>
          <w:rFonts w:hint="eastAsia"/>
          <w:color w:val="auto"/>
        </w:rPr>
        <w:t>‘</w:t>
      </w:r>
      <w:r>
        <w:rPr>
          <w:color w:val="auto"/>
        </w:rPr>
        <w:t>车载式</w:t>
      </w:r>
      <w:r>
        <w:rPr>
          <w:rFonts w:hint="eastAsia"/>
          <w:color w:val="auto"/>
        </w:rPr>
        <w:t>’</w:t>
      </w:r>
      <w:r>
        <w:rPr>
          <w:color w:val="auto"/>
        </w:rPr>
        <w:t>医疗废物处置方舱，为偏远基层提供就地处置服务。加强医疗废物分类管理，做好源头分类，促进规范处置。2022年6月底前，各县（市）建成医疗废物收集转运处置体系。2023年底前，各设区市至少建成一个符合运行要求的医疗废物集中焚烧设施</w:t>
      </w:r>
      <w:r>
        <w:rPr>
          <w:rFonts w:hint="eastAsia"/>
          <w:color w:val="auto"/>
        </w:rPr>
        <w:t>”</w:t>
      </w:r>
      <w:r>
        <w:rPr>
          <w:color w:val="auto"/>
        </w:rPr>
        <w:t>。</w:t>
      </w:r>
      <w:r>
        <w:rPr>
          <w:rFonts w:hint="eastAsia"/>
          <w:color w:val="auto"/>
        </w:rPr>
        <w:t>“</w:t>
      </w:r>
      <w:r>
        <w:rPr>
          <w:color w:val="auto"/>
        </w:rPr>
        <w:t>保障重大疫情医疗废物应急处置能力</w:t>
      </w:r>
      <w:r>
        <w:rPr>
          <w:rFonts w:hint="eastAsia"/>
          <w:color w:val="auto"/>
        </w:rPr>
        <w:t>”</w:t>
      </w:r>
      <w:r>
        <w:rPr>
          <w:color w:val="auto"/>
        </w:rPr>
        <w:t>。</w:t>
      </w:r>
    </w:p>
    <w:p>
      <w:pPr>
        <w:pStyle w:val="4"/>
        <w:rPr>
          <w:rFonts w:cs="Times New Roman"/>
          <w:color w:val="auto"/>
        </w:rPr>
      </w:pPr>
      <w:bookmarkStart w:id="131" w:name="_Toc4710"/>
      <w:r>
        <w:rPr>
          <w:rFonts w:hint="eastAsia" w:cs="Times New Roman"/>
          <w:color w:val="auto"/>
        </w:rPr>
        <w:t>疫情下的医废管理</w:t>
      </w:r>
      <w:bookmarkEnd w:id="131"/>
    </w:p>
    <w:p>
      <w:pPr>
        <w:pStyle w:val="32"/>
        <w:ind w:firstLine="480"/>
        <w:rPr>
          <w:color w:val="auto"/>
        </w:rPr>
      </w:pPr>
      <w:r>
        <w:rPr>
          <w:rFonts w:hint="eastAsia"/>
          <w:color w:val="auto"/>
        </w:rPr>
        <w:t>2020年</w:t>
      </w:r>
      <w:r>
        <w:rPr>
          <w:color w:val="auto"/>
        </w:rPr>
        <w:t>1月23日，江苏省生态环境厅紧急印发《关于做好新型冠状病毒感染的肺炎疫情医疗废物处置工作的有关通知》（苏环办</w:t>
      </w:r>
      <w:r>
        <w:rPr>
          <w:rFonts w:hint="eastAsia"/>
          <w:color w:val="auto"/>
        </w:rPr>
        <w:t>[</w:t>
      </w:r>
      <w:r>
        <w:rPr>
          <w:color w:val="auto"/>
        </w:rPr>
        <w:t>2020</w:t>
      </w:r>
      <w:r>
        <w:rPr>
          <w:rFonts w:hint="eastAsia"/>
          <w:color w:val="auto"/>
        </w:rPr>
        <w:t>]</w:t>
      </w:r>
      <w:r>
        <w:rPr>
          <w:color w:val="auto"/>
        </w:rPr>
        <w:t>29号），要求全省各地生态环境部门迅速全面响应，认真履职尽责，加强与卫生健康等部门的协调配合，做好肺炎疫情医疗废物处置工作。</w:t>
      </w:r>
    </w:p>
    <w:p>
      <w:pPr>
        <w:pStyle w:val="32"/>
        <w:ind w:firstLine="480"/>
        <w:rPr>
          <w:color w:val="auto"/>
        </w:rPr>
      </w:pPr>
      <w:r>
        <w:rPr>
          <w:rFonts w:hint="eastAsia"/>
          <w:color w:val="auto"/>
        </w:rPr>
        <w:t>为确保新冠病毒感染相关医疗废物得到及时、有序、高效、无害化处置，防止疾病传播，保护环境，保障人体健康安全，江苏省生态环境厅和省卫生健康委联合制定了《新型冠状病毒感染相关医疗废物收集贮存运输处置技术指南》，于2020年1月29日发布（苏环办[</w:t>
      </w:r>
      <w:r>
        <w:rPr>
          <w:color w:val="auto"/>
        </w:rPr>
        <w:t>2020]32</w:t>
      </w:r>
      <w:r>
        <w:rPr>
          <w:rFonts w:hint="eastAsia"/>
          <w:color w:val="auto"/>
        </w:rPr>
        <w:t>号），针对处置技术路线提出“疫情期间产生的新冠医疗废物应优先采用高温焚烧法进行处置，采用蒸煮等其他非焚烧处置的应确保消毒效果。不得采用分类回收的方式处理利用其中的有价值材料。”</w:t>
      </w:r>
    </w:p>
    <w:p>
      <w:pPr>
        <w:pStyle w:val="32"/>
        <w:ind w:firstLine="480"/>
        <w:rPr>
          <w:color w:val="auto"/>
        </w:rPr>
      </w:pPr>
      <w:r>
        <w:rPr>
          <w:rFonts w:hint="eastAsia"/>
          <w:color w:val="auto"/>
        </w:rPr>
        <w:t>《省生态环境厅关于加强新冠肺炎疫情医疗废物处置工作的紧急通知》（苏环办[</w:t>
      </w:r>
      <w:r>
        <w:rPr>
          <w:color w:val="auto"/>
        </w:rPr>
        <w:t>2021]</w:t>
      </w:r>
      <w:r>
        <w:rPr>
          <w:rFonts w:hint="eastAsia"/>
          <w:color w:val="auto"/>
        </w:rPr>
        <w:t>228号，2021年7月23日发布）要求，“强化医疗废物规范处置，确保新冠肺炎疫情医疗废物‘日产日清’”，“分别加强对医疗废物集中处置单位和医疗机构的监督管理”。</w:t>
      </w:r>
    </w:p>
    <w:p>
      <w:pPr>
        <w:pStyle w:val="32"/>
        <w:ind w:firstLine="480"/>
        <w:rPr>
          <w:color w:val="auto"/>
        </w:rPr>
      </w:pPr>
      <w:r>
        <w:rPr>
          <w:rFonts w:hint="eastAsia"/>
          <w:color w:val="auto"/>
        </w:rPr>
        <w:t>2021年8月28日，省新冠肺炎疫情防控工作领导小组预防控制组制定了《集中隔离医学观察场所医疗废物收集转运消毒与个人防护指南（试行）》（苏防控防指[</w:t>
      </w:r>
      <w:r>
        <w:rPr>
          <w:color w:val="auto"/>
        </w:rPr>
        <w:t>2021]108</w:t>
      </w:r>
      <w:r>
        <w:rPr>
          <w:rFonts w:hint="eastAsia"/>
          <w:color w:val="auto"/>
        </w:rPr>
        <w:t>号），要求用含有效氯2000</w:t>
      </w:r>
      <w:r>
        <w:rPr>
          <w:color w:val="auto"/>
        </w:rPr>
        <w:t>mg/L</w:t>
      </w:r>
      <w:r>
        <w:rPr>
          <w:rFonts w:hint="eastAsia"/>
          <w:color w:val="auto"/>
        </w:rPr>
        <w:t>的消毒液对医疗废物外表面及周转箱、转运车进行彻底消毒。</w:t>
      </w:r>
    </w:p>
    <w:p>
      <w:pPr>
        <w:pStyle w:val="32"/>
        <w:ind w:firstLine="480"/>
        <w:rPr>
          <w:color w:val="auto"/>
        </w:rPr>
      </w:pPr>
      <w:r>
        <w:rPr>
          <w:rFonts w:hint="eastAsia"/>
          <w:color w:val="auto"/>
        </w:rPr>
        <w:t>针对新冠病毒肺炎疫情的防控，江苏省市场监督管理局和江苏省卫生健康委员会于2020年初发布了一系列消毒技术规范（DB32</w:t>
      </w:r>
      <w:r>
        <w:rPr>
          <w:color w:val="auto"/>
        </w:rPr>
        <w:t>/T 3756-2020~</w:t>
      </w:r>
      <w:r>
        <w:rPr>
          <w:rFonts w:hint="eastAsia"/>
          <w:color w:val="auto"/>
        </w:rPr>
        <w:t xml:space="preserve"> DB32</w:t>
      </w:r>
      <w:r>
        <w:rPr>
          <w:color w:val="auto"/>
        </w:rPr>
        <w:t>/T 3760-2020</w:t>
      </w:r>
      <w:r>
        <w:rPr>
          <w:rFonts w:hint="eastAsia"/>
          <w:color w:val="auto"/>
        </w:rPr>
        <w:t>），涉及场所和人员涵盖公共场所、学校、集中医学观察场所、病例居室、防控人员等；同时发布的还有《新冠病毒肺炎疫情防控技术规范》（DB32</w:t>
      </w:r>
      <w:r>
        <w:rPr>
          <w:color w:val="auto"/>
        </w:rPr>
        <w:t>/T 37</w:t>
      </w:r>
      <w:r>
        <w:rPr>
          <w:rFonts w:hint="eastAsia"/>
          <w:color w:val="auto"/>
        </w:rPr>
        <w:t>61</w:t>
      </w:r>
      <w:r>
        <w:rPr>
          <w:color w:val="auto"/>
        </w:rPr>
        <w:t>-2020</w:t>
      </w:r>
      <w:r>
        <w:rPr>
          <w:rFonts w:hint="eastAsia"/>
          <w:color w:val="auto"/>
        </w:rPr>
        <w:t>），目前分为50个部分，涵盖医疗机构、学校、农贸市场、工业企业、社区、公共场所、医疗废物处置中心、城镇污水处理厂、阳性物品污染场所、新冠医疗废物管理等多个细分子项。要求“医疗废物应在不超过48h内转运至处置设施”，“医疗废物处置机构应优先收集和处置肺炎弃婴防治过程产生的感染性医疗废物。运抵处置场所的医疗废物应做到随到随处置，在处置机构的暂时贮存时间不超过12h。”最新发布的《医疗机构污泥处理技术规范》中明确指出，“污泥根据国家环境保护总局危险废物分类，属于危险废物的范畴，必须按医疗废物处理要求进行集中</w:t>
      </w:r>
      <w:r>
        <w:rPr>
          <w:color w:val="auto"/>
        </w:rPr>
        <w:t>(焚烧)处置</w:t>
      </w:r>
      <w:r>
        <w:rPr>
          <w:rFonts w:hint="eastAsia"/>
          <w:color w:val="auto"/>
        </w:rPr>
        <w:t>”。</w:t>
      </w:r>
    </w:p>
    <w:p>
      <w:pPr>
        <w:pStyle w:val="3"/>
        <w:rPr>
          <w:rFonts w:cs="Times New Roman"/>
          <w:color w:val="auto"/>
        </w:rPr>
      </w:pPr>
      <w:bookmarkStart w:id="132" w:name="_Toc8756"/>
      <w:r>
        <w:rPr>
          <w:rFonts w:cs="Times New Roman"/>
          <w:color w:val="auto"/>
        </w:rPr>
        <w:t>总结</w:t>
      </w:r>
      <w:bookmarkEnd w:id="132"/>
    </w:p>
    <w:p>
      <w:pPr>
        <w:pStyle w:val="32"/>
        <w:ind w:firstLine="480"/>
        <w:rPr>
          <w:color w:val="auto"/>
        </w:rPr>
      </w:pPr>
      <w:r>
        <w:rPr>
          <w:color w:val="auto"/>
        </w:rPr>
        <w:t>（1）管理医疗废弃物是为了避免其导致的环境和健康影响，源头减量和分类是关于废弃物管理的众多相关国际公约和指南所提倡的基本原则。相较于部分发达国家，我国目前在医疗废物分类收集方面所做的工作相对薄弱，尤其对有害医疗废物的划分和医疗机构、科研机构以外的普通家庭中所产生的一般医疗废物的收集处置，可以从国外相关政策法规中部分借鉴。</w:t>
      </w:r>
    </w:p>
    <w:p>
      <w:pPr>
        <w:pStyle w:val="32"/>
        <w:ind w:firstLine="480"/>
        <w:rPr>
          <w:color w:val="auto"/>
        </w:rPr>
      </w:pPr>
      <w:r>
        <w:rPr>
          <w:color w:val="auto"/>
        </w:rPr>
        <w:t>（2）部分国家尤其是美国和日本对于废弃注射器尤其是针头的管理重视程度高于我国，一方面由于这些国家和地区的针头使用量极大且私人使用程度高，另一方面由于该类废物管理不当导致的损伤性和感染性风险高。</w:t>
      </w:r>
    </w:p>
    <w:p>
      <w:pPr>
        <w:pStyle w:val="32"/>
        <w:ind w:firstLine="480"/>
        <w:rPr>
          <w:color w:val="auto"/>
        </w:rPr>
      </w:pPr>
      <w:r>
        <w:rPr>
          <w:color w:val="auto"/>
        </w:rPr>
        <w:t>（3）医疗废物的处理处置，各国选择适合实际情况的多种方法，也呈现出一定的问题。针对我国的国情，预计在未来一段时间内可以对全类型医疗废物进行“一段式”处置的技术工艺将保持其主流趋势。</w:t>
      </w:r>
    </w:p>
    <w:p>
      <w:pPr>
        <w:pStyle w:val="32"/>
        <w:ind w:firstLine="480"/>
        <w:rPr>
          <w:color w:val="auto"/>
        </w:rPr>
      </w:pPr>
      <w:r>
        <w:rPr>
          <w:color w:val="auto"/>
        </w:rPr>
        <w:t>（4）随着国家对医疗废物处置行业的管理管控，相关政策、标准、技术规范必将持续出台，有利于行业市场的规范和新技术的推广应用，有利于医疗废物处置行业的健康发展。</w:t>
      </w:r>
    </w:p>
    <w:p>
      <w:pPr>
        <w:pStyle w:val="2"/>
        <w:rPr>
          <w:rFonts w:ascii="Times New Roman" w:hAnsi="Times New Roman" w:cs="Times New Roman"/>
          <w:color w:val="auto"/>
          <w:highlight w:val="none"/>
        </w:rPr>
      </w:pPr>
      <w:bookmarkStart w:id="133" w:name="_Toc4664"/>
      <w:r>
        <w:rPr>
          <w:rFonts w:hint="eastAsia" w:ascii="Times New Roman" w:hAnsi="Times New Roman" w:cs="Times New Roman"/>
          <w:color w:val="auto"/>
          <w:highlight w:val="none"/>
          <w:lang w:val="en-US" w:eastAsia="zh-CN"/>
        </w:rPr>
        <w:t>与</w:t>
      </w:r>
      <w:r>
        <w:rPr>
          <w:rFonts w:ascii="Times New Roman" w:hAnsi="Times New Roman" w:cs="Times New Roman"/>
          <w:color w:val="auto"/>
          <w:highlight w:val="none"/>
        </w:rPr>
        <w:t>相关法律法规和标准</w:t>
      </w:r>
      <w:r>
        <w:rPr>
          <w:rFonts w:hint="eastAsia" w:ascii="Times New Roman" w:hAnsi="Times New Roman" w:cs="Times New Roman"/>
          <w:color w:val="auto"/>
          <w:highlight w:val="none"/>
          <w:lang w:val="en-US" w:eastAsia="zh-CN"/>
        </w:rPr>
        <w:t>的关系</w:t>
      </w:r>
      <w:bookmarkEnd w:id="133"/>
    </w:p>
    <w:p>
      <w:pPr>
        <w:pStyle w:val="32"/>
        <w:ind w:firstLine="480"/>
        <w:rPr>
          <w:color w:val="auto"/>
        </w:rPr>
      </w:pPr>
      <w:r>
        <w:rPr>
          <w:color w:val="auto"/>
        </w:rPr>
        <w:t>相较于现有的医疗废物处理处置技术规范，国内和国外尚无医疗废物等离子体处置相关技术规范和应用标准体系对该技术的应用实施加以指导和约束，现有医疗废物处置标准无法完全适用，需要制定</w:t>
      </w:r>
      <w:r>
        <w:rPr>
          <w:rFonts w:hint="eastAsia"/>
          <w:color w:val="auto"/>
        </w:rPr>
        <w:t>特定</w:t>
      </w:r>
      <w:r>
        <w:rPr>
          <w:color w:val="auto"/>
        </w:rPr>
        <w:t>标准来规范行业。</w:t>
      </w:r>
    </w:p>
    <w:p>
      <w:pPr>
        <w:pStyle w:val="32"/>
        <w:ind w:firstLine="480"/>
        <w:rPr>
          <w:color w:val="auto"/>
        </w:rPr>
      </w:pPr>
      <w:r>
        <w:rPr>
          <w:color w:val="auto"/>
        </w:rPr>
        <w:t>本标准涉及的环境、管理等方面的具体条款，有相关标准的，均引用标准要求；有多个相关标准的，主要考虑引用通用性、较新的标准，同时兼顾其他标准，保持协调。本标准制定过程中主要引用的</w:t>
      </w:r>
      <w:r>
        <w:rPr>
          <w:rFonts w:hint="eastAsia"/>
          <w:color w:val="auto"/>
        </w:rPr>
        <w:t>文件</w:t>
      </w:r>
      <w:r>
        <w:rPr>
          <w:color w:val="auto"/>
        </w:rPr>
        <w:t>有：</w:t>
      </w:r>
    </w:p>
    <w:p>
      <w:pPr>
        <w:pStyle w:val="32"/>
        <w:ind w:firstLine="480"/>
        <w:rPr>
          <w:color w:val="auto"/>
        </w:rPr>
      </w:pPr>
      <w:r>
        <w:rPr>
          <w:color w:val="auto"/>
        </w:rPr>
        <w:t>GB 3096 声环境质量标准</w:t>
      </w:r>
    </w:p>
    <w:p>
      <w:pPr>
        <w:pStyle w:val="32"/>
        <w:ind w:firstLine="480"/>
        <w:rPr>
          <w:color w:val="auto"/>
        </w:rPr>
      </w:pPr>
      <w:r>
        <w:rPr>
          <w:color w:val="auto"/>
        </w:rPr>
        <w:t>GB 5083 生产设备安全卫生设计总则</w:t>
      </w:r>
    </w:p>
    <w:p>
      <w:pPr>
        <w:pStyle w:val="32"/>
        <w:ind w:firstLine="480"/>
        <w:rPr>
          <w:color w:val="auto"/>
        </w:rPr>
      </w:pPr>
      <w:r>
        <w:rPr>
          <w:color w:val="auto"/>
        </w:rPr>
        <w:t>GB 8978 污水综合排放标准</w:t>
      </w:r>
    </w:p>
    <w:p>
      <w:pPr>
        <w:pStyle w:val="32"/>
        <w:ind w:firstLine="480"/>
        <w:rPr>
          <w:color w:val="auto"/>
        </w:rPr>
      </w:pPr>
      <w:r>
        <w:rPr>
          <w:color w:val="auto"/>
        </w:rPr>
        <w:t>GB 12348 工业企业厂界环境噪声排放标准</w:t>
      </w:r>
    </w:p>
    <w:p>
      <w:pPr>
        <w:pStyle w:val="32"/>
        <w:ind w:firstLine="480"/>
        <w:rPr>
          <w:color w:val="auto"/>
        </w:rPr>
      </w:pPr>
      <w:r>
        <w:rPr>
          <w:color w:val="auto"/>
        </w:rPr>
        <w:t>GB/T 14549 电能质量 公用电网谐波</w:t>
      </w:r>
    </w:p>
    <w:p>
      <w:pPr>
        <w:pStyle w:val="32"/>
        <w:ind w:firstLine="480"/>
        <w:rPr>
          <w:color w:val="auto"/>
        </w:rPr>
      </w:pPr>
      <w:r>
        <w:rPr>
          <w:color w:val="auto"/>
        </w:rPr>
        <w:t>GB 14554 恶臭污染物排放标准</w:t>
      </w:r>
    </w:p>
    <w:p>
      <w:pPr>
        <w:pStyle w:val="32"/>
        <w:ind w:firstLine="480"/>
        <w:rPr>
          <w:color w:val="auto"/>
        </w:rPr>
      </w:pPr>
      <w:r>
        <w:rPr>
          <w:color w:val="auto"/>
        </w:rPr>
        <w:t>GB/T 16157 固定污染源排气中颗粒物和气态污染物采样方法</w:t>
      </w:r>
    </w:p>
    <w:p>
      <w:pPr>
        <w:pStyle w:val="32"/>
        <w:ind w:firstLine="480"/>
        <w:rPr>
          <w:color w:val="auto"/>
        </w:rPr>
      </w:pPr>
      <w:r>
        <w:rPr>
          <w:color w:val="auto"/>
        </w:rPr>
        <w:t>GB 16297 大气污染物综合排放标准</w:t>
      </w:r>
    </w:p>
    <w:p>
      <w:pPr>
        <w:pStyle w:val="32"/>
        <w:ind w:firstLine="480"/>
        <w:rPr>
          <w:color w:val="auto"/>
        </w:rPr>
      </w:pPr>
      <w:r>
        <w:rPr>
          <w:color w:val="auto"/>
        </w:rPr>
        <w:t>GB 18466 医疗机构水污染物排放标准</w:t>
      </w:r>
    </w:p>
    <w:p>
      <w:pPr>
        <w:pStyle w:val="32"/>
        <w:ind w:firstLine="480"/>
        <w:rPr>
          <w:color w:val="auto"/>
        </w:rPr>
      </w:pPr>
      <w:r>
        <w:rPr>
          <w:color w:val="auto"/>
        </w:rPr>
        <w:t>GB 18597 危险废物贮存污染控制标准</w:t>
      </w:r>
    </w:p>
    <w:p>
      <w:pPr>
        <w:pStyle w:val="32"/>
        <w:ind w:firstLine="480"/>
        <w:rPr>
          <w:color w:val="auto"/>
        </w:rPr>
      </w:pPr>
      <w:r>
        <w:rPr>
          <w:color w:val="auto"/>
        </w:rPr>
        <w:t>GB/T 18920 城市污水再生利用 城市杂用水水质</w:t>
      </w:r>
    </w:p>
    <w:p>
      <w:pPr>
        <w:pStyle w:val="32"/>
        <w:ind w:firstLine="480"/>
        <w:rPr>
          <w:color w:val="auto"/>
        </w:rPr>
      </w:pPr>
      <w:r>
        <w:rPr>
          <w:color w:val="auto"/>
        </w:rPr>
        <w:t>GB/T 19923 城市污水再生利用 工业用水水质</w:t>
      </w:r>
    </w:p>
    <w:p>
      <w:pPr>
        <w:pStyle w:val="32"/>
        <w:ind w:firstLine="480"/>
        <w:rPr>
          <w:color w:val="auto"/>
        </w:rPr>
      </w:pPr>
      <w:r>
        <w:rPr>
          <w:color w:val="auto"/>
        </w:rPr>
        <w:t>GB/T 28001 职业健康安全管理体系</w:t>
      </w:r>
    </w:p>
    <w:p>
      <w:pPr>
        <w:pStyle w:val="32"/>
        <w:ind w:firstLine="480"/>
        <w:rPr>
          <w:color w:val="auto"/>
        </w:rPr>
      </w:pPr>
      <w:r>
        <w:rPr>
          <w:color w:val="auto"/>
        </w:rPr>
        <w:t>GB 39707 医疗废物处理处置污染控制标准</w:t>
      </w:r>
    </w:p>
    <w:p>
      <w:pPr>
        <w:pStyle w:val="32"/>
        <w:ind w:firstLine="480"/>
        <w:rPr>
          <w:color w:val="auto"/>
        </w:rPr>
      </w:pPr>
      <w:r>
        <w:rPr>
          <w:color w:val="auto"/>
        </w:rPr>
        <w:t>GB/T 41015 固体废物玻璃化处理产物技术要求</w:t>
      </w:r>
    </w:p>
    <w:p>
      <w:pPr>
        <w:pStyle w:val="32"/>
        <w:ind w:firstLine="480"/>
        <w:rPr>
          <w:color w:val="auto"/>
        </w:rPr>
      </w:pPr>
      <w:r>
        <w:rPr>
          <w:color w:val="auto"/>
        </w:rPr>
        <w:t>GB 50013 室外给水设计标准</w:t>
      </w:r>
    </w:p>
    <w:p>
      <w:pPr>
        <w:pStyle w:val="32"/>
        <w:ind w:firstLine="480"/>
        <w:rPr>
          <w:color w:val="auto"/>
        </w:rPr>
      </w:pPr>
      <w:r>
        <w:rPr>
          <w:color w:val="auto"/>
        </w:rPr>
        <w:t>GB 50015 建筑给水排水设计标准</w:t>
      </w:r>
    </w:p>
    <w:p>
      <w:pPr>
        <w:pStyle w:val="32"/>
        <w:ind w:firstLine="480"/>
        <w:rPr>
          <w:color w:val="auto"/>
        </w:rPr>
      </w:pPr>
      <w:r>
        <w:rPr>
          <w:color w:val="auto"/>
        </w:rPr>
        <w:t>GB 50016 建筑设计防火规范</w:t>
      </w:r>
    </w:p>
    <w:p>
      <w:pPr>
        <w:pStyle w:val="32"/>
        <w:ind w:firstLine="480"/>
        <w:rPr>
          <w:color w:val="auto"/>
        </w:rPr>
      </w:pPr>
      <w:r>
        <w:rPr>
          <w:color w:val="auto"/>
        </w:rPr>
        <w:t>GB 50019 采暖通风与空气调节设计规范</w:t>
      </w:r>
    </w:p>
    <w:p>
      <w:pPr>
        <w:pStyle w:val="32"/>
        <w:ind w:firstLine="480"/>
        <w:rPr>
          <w:color w:val="auto"/>
        </w:rPr>
      </w:pPr>
      <w:r>
        <w:rPr>
          <w:color w:val="auto"/>
        </w:rPr>
        <w:t>GB 50052 供配电系统设计规范</w:t>
      </w:r>
    </w:p>
    <w:p>
      <w:pPr>
        <w:pStyle w:val="32"/>
        <w:ind w:firstLine="480"/>
        <w:rPr>
          <w:color w:val="auto"/>
        </w:rPr>
      </w:pPr>
      <w:r>
        <w:rPr>
          <w:color w:val="auto"/>
        </w:rPr>
        <w:t>GB/T 50087 工业企业噪声控制设计规范</w:t>
      </w:r>
    </w:p>
    <w:p>
      <w:pPr>
        <w:pStyle w:val="32"/>
        <w:ind w:firstLine="480"/>
        <w:rPr>
          <w:color w:val="auto"/>
        </w:rPr>
      </w:pPr>
      <w:r>
        <w:rPr>
          <w:color w:val="auto"/>
        </w:rPr>
        <w:t>GB 50169 电气装置安装工程接地装置施工及验收规范</w:t>
      </w:r>
    </w:p>
    <w:p>
      <w:pPr>
        <w:pStyle w:val="32"/>
        <w:ind w:firstLine="480"/>
        <w:rPr>
          <w:color w:val="auto"/>
        </w:rPr>
      </w:pPr>
      <w:r>
        <w:rPr>
          <w:color w:val="auto"/>
        </w:rPr>
        <w:t>GBZ 1 工业企业设计卫生标准</w:t>
      </w:r>
    </w:p>
    <w:p>
      <w:pPr>
        <w:pStyle w:val="32"/>
        <w:ind w:firstLine="480"/>
        <w:rPr>
          <w:color w:val="auto"/>
        </w:rPr>
      </w:pPr>
      <w:r>
        <w:rPr>
          <w:color w:val="auto"/>
        </w:rPr>
        <w:t>GBZ 2.1 工作场所有害因素职业接触限值 第1部分 化学有害因素</w:t>
      </w:r>
    </w:p>
    <w:p>
      <w:pPr>
        <w:pStyle w:val="32"/>
        <w:ind w:firstLine="480"/>
        <w:rPr>
          <w:color w:val="auto"/>
        </w:rPr>
      </w:pPr>
      <w:r>
        <w:rPr>
          <w:color w:val="auto"/>
        </w:rPr>
        <w:t>GBZ 2.2 工作场所有害因素职业接触限值 第2部分 物理因素</w:t>
      </w:r>
    </w:p>
    <w:p>
      <w:pPr>
        <w:pStyle w:val="32"/>
        <w:ind w:firstLine="480"/>
        <w:rPr>
          <w:color w:val="auto"/>
        </w:rPr>
      </w:pPr>
      <w:r>
        <w:rPr>
          <w:color w:val="auto"/>
        </w:rPr>
        <w:t>HJ 276 医疗废物高温蒸汽消毒集中处理工程技术规范</w:t>
      </w:r>
    </w:p>
    <w:p>
      <w:pPr>
        <w:pStyle w:val="32"/>
        <w:ind w:firstLine="480"/>
        <w:rPr>
          <w:color w:val="auto"/>
        </w:rPr>
      </w:pPr>
      <w:r>
        <w:rPr>
          <w:color w:val="auto"/>
        </w:rPr>
        <w:t>HJ 561 危险废物（含医疗废物）焚烧处置设施性能测试技术规范</w:t>
      </w:r>
    </w:p>
    <w:p>
      <w:pPr>
        <w:pStyle w:val="32"/>
        <w:ind w:firstLine="480"/>
        <w:rPr>
          <w:color w:val="auto"/>
        </w:rPr>
      </w:pPr>
      <w:r>
        <w:rPr>
          <w:color w:val="auto"/>
        </w:rPr>
        <w:t>HJ 819 排污单位自行监测技术指南 总则</w:t>
      </w:r>
    </w:p>
    <w:p>
      <w:pPr>
        <w:pStyle w:val="32"/>
        <w:ind w:firstLine="480"/>
        <w:rPr>
          <w:color w:val="auto"/>
        </w:rPr>
      </w:pPr>
      <w:r>
        <w:rPr>
          <w:color w:val="auto"/>
        </w:rPr>
        <w:t>HJ 1205 排污单位自行监测技术指南 固体废物焚烧</w:t>
      </w:r>
    </w:p>
    <w:p>
      <w:pPr>
        <w:pStyle w:val="32"/>
        <w:ind w:firstLine="480"/>
        <w:rPr>
          <w:color w:val="auto"/>
        </w:rPr>
      </w:pPr>
      <w:r>
        <w:rPr>
          <w:color w:val="auto"/>
        </w:rPr>
        <w:t>HJ 1250 排污单位自行监测技术指南 工业固体废物和危险废物治理</w:t>
      </w:r>
    </w:p>
    <w:p>
      <w:pPr>
        <w:pStyle w:val="32"/>
        <w:ind w:firstLine="480"/>
        <w:rPr>
          <w:color w:val="auto"/>
        </w:rPr>
      </w:pPr>
      <w:r>
        <w:rPr>
          <w:color w:val="auto"/>
        </w:rPr>
        <w:t>DB32/T 3558 生活垃圾焚烧飞灰熔融处理技术规范</w:t>
      </w:r>
    </w:p>
    <w:p>
      <w:pPr>
        <w:pStyle w:val="32"/>
        <w:ind w:firstLine="480"/>
        <w:rPr>
          <w:color w:val="auto"/>
        </w:rPr>
      </w:pPr>
      <w:r>
        <w:rPr>
          <w:color w:val="auto"/>
        </w:rPr>
        <w:t>DB32/T 4269 医疗机构污泥处理技术规范</w:t>
      </w:r>
    </w:p>
    <w:p>
      <w:pPr>
        <w:pStyle w:val="32"/>
        <w:ind w:firstLine="480"/>
        <w:rPr>
          <w:color w:val="auto"/>
        </w:rPr>
      </w:pPr>
      <w:r>
        <w:rPr>
          <w:rFonts w:hint="eastAsia"/>
          <w:color w:val="auto"/>
        </w:rPr>
        <w:t>《医疗废物管理条例》</w:t>
      </w:r>
    </w:p>
    <w:p>
      <w:pPr>
        <w:pStyle w:val="32"/>
        <w:ind w:firstLine="480"/>
        <w:rPr>
          <w:color w:val="auto"/>
        </w:rPr>
      </w:pPr>
      <w:r>
        <w:rPr>
          <w:rFonts w:hint="eastAsia"/>
          <w:color w:val="auto"/>
        </w:rPr>
        <w:t>《医疗废物分类目录》</w:t>
      </w:r>
    </w:p>
    <w:p>
      <w:pPr>
        <w:pStyle w:val="32"/>
        <w:ind w:firstLine="480"/>
        <w:rPr>
          <w:color w:val="auto"/>
        </w:rPr>
      </w:pPr>
      <w:r>
        <w:rPr>
          <w:rFonts w:hint="eastAsia"/>
          <w:color w:val="auto"/>
        </w:rPr>
        <w:t>《危险废物经营许可证管理办法》</w:t>
      </w:r>
    </w:p>
    <w:p>
      <w:pPr>
        <w:pStyle w:val="32"/>
        <w:ind w:firstLine="480"/>
        <w:rPr>
          <w:color w:val="auto"/>
        </w:rPr>
      </w:pPr>
      <w:r>
        <w:rPr>
          <w:rFonts w:hint="eastAsia"/>
          <w:color w:val="auto"/>
        </w:rPr>
        <w:t>《危险废物转移管理办法》</w:t>
      </w:r>
    </w:p>
    <w:p>
      <w:pPr>
        <w:pStyle w:val="32"/>
        <w:ind w:firstLine="480"/>
        <w:rPr>
          <w:color w:val="auto"/>
        </w:rPr>
      </w:pPr>
      <w:r>
        <w:rPr>
          <w:rFonts w:hint="eastAsia"/>
          <w:color w:val="auto"/>
        </w:rPr>
        <w:t>《危险废物经营单位编制应急预案指南》</w:t>
      </w:r>
    </w:p>
    <w:p>
      <w:pPr>
        <w:pStyle w:val="32"/>
        <w:ind w:firstLine="480"/>
        <w:rPr>
          <w:color w:val="auto"/>
        </w:rPr>
      </w:pPr>
      <w:r>
        <w:rPr>
          <w:rFonts w:hint="eastAsia"/>
          <w:color w:val="auto"/>
        </w:rPr>
        <w:t>《国家突发公共事件总体应急预案》</w:t>
      </w:r>
    </w:p>
    <w:p>
      <w:pPr>
        <w:pStyle w:val="32"/>
        <w:ind w:firstLine="480"/>
        <w:rPr>
          <w:color w:val="auto"/>
        </w:rPr>
      </w:pPr>
      <w:r>
        <w:rPr>
          <w:rFonts w:hint="eastAsia"/>
          <w:color w:val="auto"/>
        </w:rPr>
        <w:t>《江苏省突发事件总体应急预案》</w:t>
      </w:r>
    </w:p>
    <w:p>
      <w:pPr>
        <w:pStyle w:val="32"/>
        <w:ind w:firstLine="480"/>
        <w:rPr>
          <w:rFonts w:hint="eastAsia"/>
          <w:color w:val="auto"/>
        </w:rPr>
      </w:pPr>
      <w:r>
        <w:rPr>
          <w:rFonts w:hint="eastAsia"/>
          <w:color w:val="auto"/>
        </w:rPr>
        <w:t>《关于进一步规范和加强新冠肺炎流行期间消毒工作的通知》</w:t>
      </w:r>
    </w:p>
    <w:p>
      <w:pPr>
        <w:pStyle w:val="32"/>
        <w:ind w:firstLine="480"/>
        <w:rPr>
          <w:color w:val="auto"/>
        </w:rPr>
      </w:pPr>
      <w:r>
        <w:rPr>
          <w:color w:val="auto"/>
        </w:rPr>
        <w:t>本标准主要参考《医疗废物处理处置污染控制标准》GB 39707、</w:t>
      </w:r>
      <w:r>
        <w:rPr>
          <w:rFonts w:hint="eastAsia"/>
          <w:color w:val="auto"/>
        </w:rPr>
        <w:t>《危险废物焚烧污染控制标准》</w:t>
      </w:r>
      <w:r>
        <w:rPr>
          <w:color w:val="auto"/>
        </w:rPr>
        <w:t>GB 18484</w:t>
      </w:r>
      <w:r>
        <w:rPr>
          <w:rFonts w:hint="eastAsia"/>
          <w:color w:val="auto"/>
        </w:rPr>
        <w:t>、</w:t>
      </w:r>
      <w:r>
        <w:rPr>
          <w:color w:val="auto"/>
        </w:rPr>
        <w:t>《危险废物贮存污染控制标准》GB 18597</w:t>
      </w:r>
      <w:r>
        <w:rPr>
          <w:rFonts w:hint="eastAsia"/>
          <w:color w:val="auto"/>
        </w:rPr>
        <w:t>、</w:t>
      </w:r>
      <w:r>
        <w:rPr>
          <w:color w:val="auto"/>
        </w:rPr>
        <w:t>《医疗废物集中焚烧处置工程建设技术规范》HJ 177等医疗废物、危险废物方面的</w:t>
      </w:r>
      <w:r>
        <w:rPr>
          <w:rFonts w:hint="eastAsia"/>
          <w:color w:val="auto"/>
        </w:rPr>
        <w:t>相关</w:t>
      </w:r>
      <w:r>
        <w:rPr>
          <w:color w:val="auto"/>
        </w:rPr>
        <w:t>标准，对</w:t>
      </w:r>
      <w:r>
        <w:rPr>
          <w:rFonts w:hint="eastAsia"/>
          <w:color w:val="auto"/>
          <w:lang w:eastAsia="zh-CN"/>
        </w:rPr>
        <w:t>医疗废物等离子体集中处理处置工程</w:t>
      </w:r>
      <w:r>
        <w:rPr>
          <w:color w:val="auto"/>
        </w:rPr>
        <w:t>的总体要求、工艺设计、主要工艺设备和材料、检测与过程控制、辅助工程、劳动安全与职业卫生、施工与验收、运行与维护等技术要求做出相关规定。</w:t>
      </w:r>
    </w:p>
    <w:p>
      <w:pPr>
        <w:pStyle w:val="2"/>
        <w:rPr>
          <w:rFonts w:ascii="Times New Roman" w:hAnsi="Times New Roman" w:cs="Times New Roman"/>
          <w:color w:val="auto"/>
          <w:highlight w:val="none"/>
        </w:rPr>
      </w:pPr>
      <w:bookmarkStart w:id="134" w:name="_Toc13842"/>
      <w:r>
        <w:rPr>
          <w:rFonts w:hint="eastAsia" w:ascii="Times New Roman" w:hAnsi="Times New Roman" w:cs="Times New Roman"/>
          <w:color w:val="auto"/>
          <w:highlight w:val="none"/>
          <w:lang w:val="en-US" w:eastAsia="zh-CN"/>
        </w:rPr>
        <w:t>重大分歧意见</w:t>
      </w:r>
      <w:bookmarkEnd w:id="134"/>
    </w:p>
    <w:p>
      <w:pPr>
        <w:pStyle w:val="32"/>
        <w:ind w:firstLine="480"/>
        <w:rPr>
          <w:rFonts w:hint="default" w:eastAsia="宋体"/>
          <w:color w:val="auto"/>
          <w:lang w:val="en-US" w:eastAsia="zh-CN"/>
        </w:rPr>
      </w:pPr>
      <w:r>
        <w:rPr>
          <w:rFonts w:hint="eastAsia"/>
          <w:color w:val="auto"/>
          <w:lang w:val="en-US" w:eastAsia="zh-CN"/>
        </w:rPr>
        <w:t>本标准无重大分歧意见。</w:t>
      </w:r>
    </w:p>
    <w:p>
      <w:pPr>
        <w:pStyle w:val="2"/>
        <w:rPr>
          <w:rFonts w:ascii="Times New Roman" w:hAnsi="Times New Roman" w:cs="Times New Roman"/>
          <w:color w:val="auto"/>
          <w:highlight w:val="none"/>
        </w:rPr>
      </w:pPr>
      <w:bookmarkStart w:id="135" w:name="_Toc14408"/>
      <w:r>
        <w:rPr>
          <w:rFonts w:hint="eastAsia" w:ascii="Times New Roman" w:hAnsi="Times New Roman" w:cs="Times New Roman"/>
          <w:color w:val="auto"/>
          <w:highlight w:val="none"/>
          <w:lang w:val="en-US" w:eastAsia="zh-CN"/>
        </w:rPr>
        <w:t>推广实施建议</w:t>
      </w:r>
      <w:bookmarkEnd w:id="135"/>
    </w:p>
    <w:p>
      <w:pPr>
        <w:pStyle w:val="32"/>
        <w:ind w:firstLine="480"/>
        <w:rPr>
          <w:rFonts w:hint="eastAsia" w:eastAsia="宋体"/>
          <w:color w:val="auto"/>
          <w:lang w:val="en-US" w:eastAsia="zh-CN"/>
        </w:rPr>
      </w:pPr>
      <w:r>
        <w:rPr>
          <w:rFonts w:hint="eastAsia"/>
          <w:color w:val="auto"/>
          <w:lang w:val="en-US" w:eastAsia="zh-CN"/>
        </w:rPr>
        <w:t>本标准</w:t>
      </w:r>
      <w:r>
        <w:rPr>
          <w:rFonts w:hint="eastAsia"/>
          <w:color w:val="auto"/>
        </w:rPr>
        <w:t>使用对象为医疗废物等离子体集中处置设施建设企业，涵盖新建、改建和扩建工程的设计</w:t>
      </w:r>
      <w:r>
        <w:rPr>
          <w:rFonts w:hint="eastAsia"/>
          <w:color w:val="auto"/>
          <w:lang w:eastAsia="zh-CN"/>
        </w:rPr>
        <w:t>，</w:t>
      </w:r>
      <w:r>
        <w:rPr>
          <w:rFonts w:hint="eastAsia"/>
          <w:color w:val="auto"/>
        </w:rPr>
        <w:t>环境影响评价、全过程污染控制及环境管理。</w:t>
      </w:r>
      <w:r>
        <w:rPr>
          <w:rFonts w:hint="eastAsia"/>
          <w:color w:val="auto"/>
          <w:lang w:val="en-US" w:eastAsia="zh-CN"/>
        </w:rPr>
        <w:t>同时，</w:t>
      </w:r>
      <w:r>
        <w:rPr>
          <w:rFonts w:hint="default" w:eastAsia="宋体"/>
          <w:color w:val="auto"/>
          <w:lang w:val="en-US" w:eastAsia="zh-CN"/>
        </w:rPr>
        <w:t>本文件适用于医疗废物等离子体气化熔融集中处理处置，等离子体气化、等离子体焚烧、等离子体热解除熔融处理产物的利用技术要求外可参照本文件执行。</w:t>
      </w:r>
    </w:p>
    <w:p>
      <w:pPr>
        <w:pStyle w:val="32"/>
        <w:ind w:firstLine="480"/>
        <w:rPr>
          <w:rFonts w:hint="eastAsia"/>
          <w:color w:val="auto"/>
        </w:rPr>
      </w:pPr>
      <w:r>
        <w:rPr>
          <w:rFonts w:hint="eastAsia"/>
          <w:color w:val="auto"/>
          <w:lang w:val="en-US" w:eastAsia="zh-CN"/>
        </w:rPr>
        <w:t>本</w:t>
      </w:r>
      <w:r>
        <w:rPr>
          <w:rFonts w:hint="eastAsia"/>
          <w:color w:val="auto"/>
        </w:rPr>
        <w:t>标准发布后，</w:t>
      </w:r>
      <w:r>
        <w:rPr>
          <w:rFonts w:hint="eastAsia"/>
          <w:color w:val="auto"/>
          <w:lang w:val="en-US" w:eastAsia="zh-CN"/>
        </w:rPr>
        <w:t>建议</w:t>
      </w:r>
      <w:r>
        <w:rPr>
          <w:rFonts w:hint="eastAsia"/>
          <w:color w:val="auto"/>
        </w:rPr>
        <w:t>做好宣传工作</w:t>
      </w:r>
      <w:r>
        <w:rPr>
          <w:rFonts w:hint="eastAsia"/>
          <w:color w:val="auto"/>
          <w:lang w:eastAsia="zh-CN"/>
        </w:rPr>
        <w:t>，</w:t>
      </w:r>
      <w:r>
        <w:rPr>
          <w:rFonts w:hint="eastAsia"/>
          <w:color w:val="auto"/>
        </w:rPr>
        <w:t>利用企业技术交流、行业协会交流等机会，向同行介绍、宣传本标准，提供观摩学习机会、互相交流经验，全面提高应用水平。</w:t>
      </w:r>
    </w:p>
    <w:p>
      <w:pPr>
        <w:pStyle w:val="2"/>
        <w:rPr>
          <w:rFonts w:ascii="Times New Roman" w:hAnsi="Times New Roman" w:cs="Times New Roman"/>
          <w:color w:val="auto"/>
          <w:highlight w:val="none"/>
        </w:rPr>
      </w:pPr>
      <w:bookmarkStart w:id="136" w:name="_Toc19463"/>
      <w:r>
        <w:rPr>
          <w:rFonts w:hint="eastAsia" w:ascii="Times New Roman" w:hAnsi="Times New Roman" w:cs="Times New Roman"/>
          <w:color w:val="auto"/>
          <w:highlight w:val="none"/>
          <w:lang w:val="en-US" w:eastAsia="zh-CN"/>
        </w:rPr>
        <w:t>起草单位和起草人员信息及分工</w:t>
      </w:r>
      <w:bookmarkEnd w:id="136"/>
    </w:p>
    <w:p>
      <w:pPr>
        <w:pStyle w:val="32"/>
        <w:ind w:left="0" w:leftChars="0" w:firstLine="0" w:firstLineChars="0"/>
        <w:rPr>
          <w:rFonts w:hint="default"/>
          <w:color w:val="auto"/>
          <w:lang w:val="en-US"/>
        </w:rPr>
      </w:pPr>
      <w:r>
        <w:rPr>
          <w:rFonts w:hint="eastAsia"/>
          <w:color w:val="auto"/>
          <w:lang w:val="en-US" w:eastAsia="zh-CN"/>
        </w:rPr>
        <w:t xml:space="preserve">    本标准</w:t>
      </w:r>
      <w:r>
        <w:rPr>
          <w:rFonts w:hint="eastAsia"/>
          <w:lang w:val="en-US" w:eastAsia="zh-CN"/>
        </w:rPr>
        <w:t>由江苏天楹等离子体科技有限公司主编，江苏省生态环境厅、国家生态环境部固管中心、扬州市生态环境局以及海安市生态环境局参编，起草单位为江苏天楹等离子体科技有限公司，主要起草人员信息及分工见表8-1。</w:t>
      </w:r>
    </w:p>
    <w:p>
      <w:pPr>
        <w:pStyle w:val="23"/>
        <w:numPr>
          <w:ilvl w:val="0"/>
          <w:numId w:val="15"/>
        </w:numPr>
        <w:spacing w:line="360" w:lineRule="auto"/>
        <w:ind w:left="420" w:leftChars="0" w:hanging="420" w:firstLineChars="0"/>
        <w:jc w:val="center"/>
        <w:rPr>
          <w:rFonts w:hint="eastAsia"/>
          <w:color w:val="auto"/>
        </w:rPr>
      </w:pPr>
      <w:r>
        <w:rPr>
          <w:rFonts w:hint="eastAsia" w:ascii="Times New Roman" w:hAnsi="Times New Roman" w:eastAsia="宋体" w:cs="Times New Roman"/>
          <w:b/>
          <w:color w:val="auto"/>
          <w:szCs w:val="21"/>
        </w:rPr>
        <w:t>地方标准</w:t>
      </w:r>
      <w:r>
        <w:rPr>
          <w:rFonts w:hint="eastAsia" w:ascii="Times New Roman" w:hAnsi="Times New Roman" w:eastAsia="宋体" w:cs="Times New Roman"/>
          <w:b/>
          <w:color w:val="auto"/>
          <w:szCs w:val="21"/>
          <w:lang w:val="en-US" w:eastAsia="zh-CN"/>
        </w:rPr>
        <w:t>主要起草人员信息及分工</w:t>
      </w:r>
    </w:p>
    <w:tbl>
      <w:tblPr>
        <w:tblStyle w:val="16"/>
        <w:tblW w:w="893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90"/>
        <w:gridCol w:w="1362"/>
        <w:gridCol w:w="1134"/>
        <w:gridCol w:w="1667"/>
        <w:gridCol w:w="1559"/>
        <w:gridCol w:w="20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 w:hRule="atLeast"/>
          <w:jc w:val="center"/>
        </w:trPr>
        <w:tc>
          <w:tcPr>
            <w:tcW w:w="1190" w:type="dxa"/>
            <w:noWrap w:val="0"/>
            <w:vAlign w:val="center"/>
          </w:tcPr>
          <w:p>
            <w:pPr>
              <w:jc w:val="center"/>
              <w:textAlignment w:val="center"/>
              <w:rPr>
                <w:rFonts w:hint="eastAsia" w:ascii="宋体" w:hAnsi="宋体" w:eastAsia="宋体"/>
                <w:sz w:val="24"/>
                <w:szCs w:val="24"/>
              </w:rPr>
            </w:pPr>
            <w:r>
              <w:rPr>
                <w:rFonts w:hint="eastAsia" w:ascii="宋体" w:hAnsi="宋体" w:eastAsia="宋体"/>
                <w:sz w:val="24"/>
                <w:szCs w:val="24"/>
              </w:rPr>
              <w:t>姓名</w:t>
            </w:r>
          </w:p>
        </w:tc>
        <w:tc>
          <w:tcPr>
            <w:tcW w:w="1362" w:type="dxa"/>
            <w:noWrap w:val="0"/>
            <w:vAlign w:val="center"/>
          </w:tcPr>
          <w:p>
            <w:pPr>
              <w:jc w:val="center"/>
              <w:textAlignment w:val="center"/>
              <w:rPr>
                <w:rFonts w:hint="eastAsia" w:ascii="宋体" w:hAnsi="宋体" w:eastAsia="宋体"/>
                <w:sz w:val="24"/>
                <w:szCs w:val="24"/>
              </w:rPr>
            </w:pPr>
            <w:r>
              <w:rPr>
                <w:rFonts w:hint="eastAsia" w:ascii="宋体" w:hAnsi="宋体" w:eastAsia="宋体"/>
                <w:sz w:val="24"/>
                <w:szCs w:val="24"/>
              </w:rPr>
              <w:t>专业</w:t>
            </w:r>
          </w:p>
        </w:tc>
        <w:tc>
          <w:tcPr>
            <w:tcW w:w="1134" w:type="dxa"/>
            <w:noWrap w:val="0"/>
            <w:vAlign w:val="center"/>
          </w:tcPr>
          <w:p>
            <w:pPr>
              <w:jc w:val="center"/>
              <w:textAlignment w:val="center"/>
              <w:rPr>
                <w:rFonts w:hint="eastAsia" w:ascii="宋体" w:hAnsi="宋体" w:eastAsia="宋体"/>
                <w:sz w:val="24"/>
                <w:szCs w:val="24"/>
              </w:rPr>
            </w:pPr>
            <w:r>
              <w:rPr>
                <w:rFonts w:hint="eastAsia" w:ascii="宋体" w:hAnsi="宋体" w:eastAsia="宋体"/>
                <w:sz w:val="24"/>
                <w:szCs w:val="24"/>
              </w:rPr>
              <w:t>职称</w:t>
            </w:r>
          </w:p>
        </w:tc>
        <w:tc>
          <w:tcPr>
            <w:tcW w:w="1667" w:type="dxa"/>
            <w:noWrap w:val="0"/>
            <w:vAlign w:val="center"/>
          </w:tcPr>
          <w:p>
            <w:pPr>
              <w:jc w:val="center"/>
              <w:textAlignment w:val="center"/>
              <w:rPr>
                <w:rFonts w:hint="eastAsia" w:ascii="宋体" w:hAnsi="宋体" w:eastAsia="宋体"/>
                <w:sz w:val="24"/>
                <w:szCs w:val="24"/>
              </w:rPr>
            </w:pPr>
            <w:r>
              <w:rPr>
                <w:rFonts w:hint="eastAsia" w:ascii="宋体" w:hAnsi="宋体" w:eastAsia="宋体"/>
                <w:sz w:val="24"/>
                <w:szCs w:val="24"/>
              </w:rPr>
              <w:t>工作单位</w:t>
            </w:r>
          </w:p>
        </w:tc>
        <w:tc>
          <w:tcPr>
            <w:tcW w:w="1559" w:type="dxa"/>
            <w:noWrap w:val="0"/>
            <w:vAlign w:val="center"/>
          </w:tcPr>
          <w:p>
            <w:pPr>
              <w:jc w:val="center"/>
              <w:textAlignment w:val="center"/>
              <w:rPr>
                <w:rFonts w:hint="eastAsia" w:ascii="宋体" w:hAnsi="宋体" w:eastAsia="宋体"/>
                <w:sz w:val="24"/>
                <w:szCs w:val="24"/>
              </w:rPr>
            </w:pPr>
            <w:r>
              <w:rPr>
                <w:rFonts w:hint="eastAsia" w:ascii="宋体" w:hAnsi="宋体" w:eastAsia="宋体"/>
                <w:sz w:val="24"/>
                <w:szCs w:val="24"/>
              </w:rPr>
              <w:t>项目分工</w:t>
            </w:r>
          </w:p>
        </w:tc>
        <w:tc>
          <w:tcPr>
            <w:tcW w:w="2019" w:type="dxa"/>
            <w:noWrap w:val="0"/>
            <w:vAlign w:val="center"/>
          </w:tcPr>
          <w:p>
            <w:pPr>
              <w:jc w:val="center"/>
              <w:textAlignment w:val="center"/>
              <w:rPr>
                <w:rFonts w:hint="eastAsia" w:ascii="宋体" w:hAnsi="宋体" w:eastAsia="宋体"/>
                <w:sz w:val="24"/>
                <w:szCs w:val="24"/>
              </w:rPr>
            </w:pPr>
            <w:r>
              <w:rPr>
                <w:rFonts w:hint="eastAsia" w:ascii="宋体" w:hAnsi="宋体" w:eastAsia="宋体"/>
                <w:sz w:val="24"/>
                <w:szCs w:val="24"/>
              </w:rPr>
              <w:t>标准化工作经历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 w:hRule="atLeast"/>
          <w:jc w:val="center"/>
        </w:trPr>
        <w:tc>
          <w:tcPr>
            <w:tcW w:w="1190" w:type="dxa"/>
            <w:noWrap w:val="0"/>
            <w:vAlign w:val="center"/>
          </w:tcPr>
          <w:p>
            <w:pPr>
              <w:jc w:val="center"/>
              <w:textAlignment w:val="center"/>
              <w:rPr>
                <w:rFonts w:ascii="宋体" w:hAnsi="宋体" w:eastAsia="宋体"/>
                <w:sz w:val="24"/>
                <w:szCs w:val="24"/>
              </w:rPr>
            </w:pPr>
            <w:r>
              <w:rPr>
                <w:rFonts w:hint="eastAsia" w:ascii="宋体" w:hAnsi="宋体" w:eastAsia="宋体"/>
                <w:position w:val="-50"/>
                <w:sz w:val="24"/>
                <w:szCs w:val="24"/>
              </w:rPr>
              <w:t>李要建</w:t>
            </w:r>
          </w:p>
        </w:tc>
        <w:tc>
          <w:tcPr>
            <w:tcW w:w="1362" w:type="dxa"/>
            <w:noWrap w:val="0"/>
            <w:vAlign w:val="center"/>
          </w:tcPr>
          <w:p>
            <w:pPr>
              <w:jc w:val="center"/>
              <w:textAlignment w:val="center"/>
              <w:rPr>
                <w:rFonts w:hint="eastAsia" w:ascii="宋体" w:hAnsi="宋体" w:eastAsia="宋体"/>
                <w:sz w:val="24"/>
                <w:szCs w:val="24"/>
              </w:rPr>
            </w:pPr>
            <w:r>
              <w:rPr>
                <w:rFonts w:hint="eastAsia" w:ascii="宋体" w:hAnsi="宋体" w:eastAsia="宋体"/>
                <w:sz w:val="24"/>
                <w:szCs w:val="24"/>
              </w:rPr>
              <w:t>博士，流体力学</w:t>
            </w:r>
          </w:p>
        </w:tc>
        <w:tc>
          <w:tcPr>
            <w:tcW w:w="1134" w:type="dxa"/>
            <w:noWrap w:val="0"/>
            <w:vAlign w:val="center"/>
          </w:tcPr>
          <w:p>
            <w:pPr>
              <w:jc w:val="center"/>
              <w:textAlignment w:val="center"/>
              <w:rPr>
                <w:rFonts w:hint="eastAsia" w:ascii="宋体" w:hAnsi="宋体" w:eastAsia="宋体"/>
                <w:sz w:val="24"/>
                <w:szCs w:val="24"/>
              </w:rPr>
            </w:pPr>
            <w:r>
              <w:rPr>
                <w:rFonts w:hint="eastAsia" w:ascii="宋体" w:hAnsi="宋体" w:eastAsia="宋体"/>
                <w:sz w:val="24"/>
                <w:szCs w:val="24"/>
              </w:rPr>
              <w:t>副研究员</w:t>
            </w:r>
          </w:p>
        </w:tc>
        <w:tc>
          <w:tcPr>
            <w:tcW w:w="1667" w:type="dxa"/>
            <w:noWrap w:val="0"/>
            <w:vAlign w:val="center"/>
          </w:tcPr>
          <w:p>
            <w:pPr>
              <w:jc w:val="center"/>
              <w:textAlignment w:val="center"/>
              <w:rPr>
                <w:rFonts w:hint="eastAsia" w:ascii="宋体" w:hAnsi="宋体" w:eastAsia="宋体"/>
                <w:sz w:val="24"/>
                <w:szCs w:val="24"/>
              </w:rPr>
            </w:pPr>
            <w:r>
              <w:rPr>
                <w:rFonts w:hint="eastAsia" w:ascii="宋体" w:hAnsi="宋体" w:eastAsia="宋体"/>
                <w:sz w:val="24"/>
                <w:szCs w:val="24"/>
              </w:rPr>
              <w:t>江苏天楹等离子体科技有限公司</w:t>
            </w:r>
          </w:p>
        </w:tc>
        <w:tc>
          <w:tcPr>
            <w:tcW w:w="1559" w:type="dxa"/>
            <w:noWrap w:val="0"/>
            <w:vAlign w:val="center"/>
          </w:tcPr>
          <w:p>
            <w:pPr>
              <w:jc w:val="center"/>
              <w:textAlignment w:val="center"/>
              <w:rPr>
                <w:rFonts w:hint="eastAsia" w:ascii="宋体" w:hAnsi="宋体" w:eastAsia="宋体"/>
                <w:sz w:val="24"/>
                <w:szCs w:val="24"/>
              </w:rPr>
            </w:pPr>
            <w:r>
              <w:rPr>
                <w:rFonts w:hint="eastAsia" w:ascii="宋体" w:hAnsi="宋体" w:eastAsia="宋体"/>
                <w:sz w:val="24"/>
                <w:szCs w:val="24"/>
              </w:rPr>
              <w:t>项目负责，标准起草</w:t>
            </w:r>
          </w:p>
        </w:tc>
        <w:tc>
          <w:tcPr>
            <w:tcW w:w="2019" w:type="dxa"/>
            <w:noWrap w:val="0"/>
            <w:vAlign w:val="center"/>
          </w:tcPr>
          <w:p>
            <w:pPr>
              <w:jc w:val="center"/>
              <w:textAlignment w:val="center"/>
              <w:rPr>
                <w:rFonts w:hint="eastAsia" w:ascii="宋体" w:hAnsi="宋体" w:eastAsia="宋体"/>
                <w:sz w:val="24"/>
                <w:szCs w:val="24"/>
              </w:rPr>
            </w:pPr>
            <w:r>
              <w:rPr>
                <w:rFonts w:hint="eastAsia" w:ascii="宋体" w:hAnsi="宋体" w:eastAsia="宋体"/>
                <w:sz w:val="24"/>
                <w:szCs w:val="24"/>
              </w:rPr>
              <w:t>主持江苏省地方标准《生活垃圾焚烧飞灰熔融处理技术规范》、《道路用熔融固化体通用技术要求》制定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 w:hRule="atLeast"/>
          <w:jc w:val="center"/>
        </w:trPr>
        <w:tc>
          <w:tcPr>
            <w:tcW w:w="1190" w:type="dxa"/>
            <w:noWrap w:val="0"/>
            <w:vAlign w:val="center"/>
          </w:tcPr>
          <w:p>
            <w:pPr>
              <w:jc w:val="center"/>
              <w:textAlignment w:val="center"/>
              <w:rPr>
                <w:rFonts w:hint="eastAsia" w:ascii="宋体" w:hAnsi="宋体" w:eastAsia="宋体"/>
                <w:sz w:val="24"/>
                <w:szCs w:val="24"/>
              </w:rPr>
            </w:pPr>
            <w:r>
              <w:rPr>
                <w:rFonts w:hint="eastAsia" w:ascii="宋体" w:hAnsi="宋体" w:eastAsia="宋体"/>
                <w:sz w:val="24"/>
                <w:szCs w:val="24"/>
              </w:rPr>
              <w:t>孙钟华</w:t>
            </w:r>
          </w:p>
        </w:tc>
        <w:tc>
          <w:tcPr>
            <w:tcW w:w="1362" w:type="dxa"/>
            <w:noWrap w:val="0"/>
            <w:vAlign w:val="center"/>
          </w:tcPr>
          <w:p>
            <w:pPr>
              <w:jc w:val="center"/>
              <w:textAlignment w:val="center"/>
              <w:rPr>
                <w:rFonts w:hint="eastAsia" w:ascii="宋体" w:hAnsi="宋体" w:eastAsia="宋体"/>
                <w:sz w:val="24"/>
                <w:szCs w:val="24"/>
              </w:rPr>
            </w:pPr>
            <w:r>
              <w:rPr>
                <w:rFonts w:hint="eastAsia" w:ascii="宋体" w:hAnsi="宋体" w:eastAsia="宋体"/>
                <w:sz w:val="24"/>
                <w:szCs w:val="24"/>
              </w:rPr>
              <w:t>博士，化学</w:t>
            </w:r>
          </w:p>
        </w:tc>
        <w:tc>
          <w:tcPr>
            <w:tcW w:w="1134" w:type="dxa"/>
            <w:noWrap w:val="0"/>
            <w:vAlign w:val="center"/>
          </w:tcPr>
          <w:p>
            <w:pPr>
              <w:jc w:val="center"/>
              <w:textAlignment w:val="center"/>
              <w:rPr>
                <w:rFonts w:hint="eastAsia" w:ascii="宋体" w:hAnsi="宋体" w:eastAsia="宋体"/>
                <w:sz w:val="24"/>
                <w:szCs w:val="24"/>
              </w:rPr>
            </w:pPr>
            <w:r>
              <w:rPr>
                <w:rFonts w:hint="eastAsia" w:ascii="宋体" w:hAnsi="宋体" w:eastAsia="宋体"/>
                <w:sz w:val="24"/>
                <w:szCs w:val="24"/>
              </w:rPr>
              <w:t>高工</w:t>
            </w:r>
          </w:p>
        </w:tc>
        <w:tc>
          <w:tcPr>
            <w:tcW w:w="1667" w:type="dxa"/>
            <w:noWrap w:val="0"/>
            <w:vAlign w:val="center"/>
          </w:tcPr>
          <w:p>
            <w:pPr>
              <w:jc w:val="center"/>
              <w:textAlignment w:val="center"/>
              <w:rPr>
                <w:rFonts w:hint="eastAsia" w:ascii="宋体" w:hAnsi="宋体" w:eastAsia="宋体"/>
                <w:sz w:val="24"/>
                <w:szCs w:val="24"/>
              </w:rPr>
            </w:pPr>
            <w:r>
              <w:rPr>
                <w:rFonts w:hint="eastAsia" w:ascii="宋体" w:hAnsi="宋体" w:eastAsia="宋体"/>
                <w:sz w:val="24"/>
                <w:szCs w:val="24"/>
              </w:rPr>
              <w:t>江苏天楹等离子体科技有限公司</w:t>
            </w:r>
          </w:p>
        </w:tc>
        <w:tc>
          <w:tcPr>
            <w:tcW w:w="1559" w:type="dxa"/>
            <w:noWrap w:val="0"/>
            <w:vAlign w:val="center"/>
          </w:tcPr>
          <w:p>
            <w:pPr>
              <w:jc w:val="center"/>
              <w:textAlignment w:val="center"/>
              <w:rPr>
                <w:rFonts w:hint="eastAsia" w:ascii="宋体" w:hAnsi="宋体" w:eastAsia="宋体"/>
                <w:sz w:val="24"/>
                <w:szCs w:val="24"/>
              </w:rPr>
            </w:pPr>
            <w:r>
              <w:rPr>
                <w:rFonts w:hint="eastAsia" w:ascii="宋体" w:hAnsi="宋体" w:eastAsia="宋体"/>
                <w:sz w:val="24"/>
                <w:szCs w:val="24"/>
              </w:rPr>
              <w:t>标准起草，应用研究</w:t>
            </w:r>
          </w:p>
        </w:tc>
        <w:tc>
          <w:tcPr>
            <w:tcW w:w="2019" w:type="dxa"/>
            <w:noWrap w:val="0"/>
            <w:vAlign w:val="center"/>
          </w:tcPr>
          <w:p>
            <w:pPr>
              <w:jc w:val="center"/>
              <w:textAlignment w:val="center"/>
              <w:rPr>
                <w:rFonts w:hint="eastAsia" w:ascii="宋体" w:hAnsi="宋体" w:eastAsia="宋体"/>
                <w:sz w:val="24"/>
                <w:szCs w:val="24"/>
              </w:rPr>
            </w:pPr>
            <w:r>
              <w:rPr>
                <w:rFonts w:hint="eastAsia" w:ascii="宋体" w:hAnsi="宋体" w:eastAsia="宋体"/>
                <w:sz w:val="24"/>
                <w:szCs w:val="24"/>
              </w:rPr>
              <w:t>制定地方标准1项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 w:hRule="atLeast"/>
          <w:jc w:val="center"/>
        </w:trPr>
        <w:tc>
          <w:tcPr>
            <w:tcW w:w="1190" w:type="dxa"/>
            <w:noWrap w:val="0"/>
            <w:vAlign w:val="center"/>
          </w:tcPr>
          <w:p>
            <w:pPr>
              <w:jc w:val="center"/>
              <w:textAlignment w:val="center"/>
              <w:rPr>
                <w:rFonts w:hint="eastAsia" w:ascii="宋体" w:hAnsi="宋体" w:eastAsia="宋体"/>
                <w:sz w:val="24"/>
                <w:szCs w:val="24"/>
              </w:rPr>
            </w:pPr>
            <w:r>
              <w:rPr>
                <w:rFonts w:hint="eastAsia" w:ascii="宋体" w:hAnsi="宋体" w:eastAsia="宋体"/>
                <w:sz w:val="24"/>
                <w:szCs w:val="24"/>
              </w:rPr>
              <w:t>杨华</w:t>
            </w:r>
          </w:p>
        </w:tc>
        <w:tc>
          <w:tcPr>
            <w:tcW w:w="1362" w:type="dxa"/>
            <w:noWrap w:val="0"/>
            <w:vAlign w:val="center"/>
          </w:tcPr>
          <w:p>
            <w:pPr>
              <w:jc w:val="center"/>
              <w:textAlignment w:val="center"/>
              <w:rPr>
                <w:rFonts w:hint="eastAsia" w:ascii="宋体" w:hAnsi="宋体" w:eastAsia="宋体"/>
                <w:sz w:val="24"/>
                <w:szCs w:val="24"/>
              </w:rPr>
            </w:pPr>
            <w:r>
              <w:rPr>
                <w:rFonts w:hint="eastAsia" w:ascii="宋体" w:hAnsi="宋体" w:eastAsia="宋体"/>
                <w:sz w:val="24"/>
                <w:szCs w:val="24"/>
              </w:rPr>
              <w:t>博士，化学工程</w:t>
            </w:r>
          </w:p>
        </w:tc>
        <w:tc>
          <w:tcPr>
            <w:tcW w:w="1134" w:type="dxa"/>
            <w:noWrap w:val="0"/>
            <w:vAlign w:val="center"/>
          </w:tcPr>
          <w:p>
            <w:pPr>
              <w:jc w:val="center"/>
              <w:textAlignment w:val="center"/>
              <w:rPr>
                <w:rFonts w:hint="eastAsia" w:ascii="宋体" w:hAnsi="宋体" w:eastAsia="宋体"/>
                <w:sz w:val="24"/>
                <w:szCs w:val="24"/>
              </w:rPr>
            </w:pPr>
            <w:r>
              <w:rPr>
                <w:rFonts w:hint="eastAsia" w:ascii="宋体" w:hAnsi="宋体" w:eastAsia="宋体"/>
                <w:sz w:val="24"/>
                <w:szCs w:val="24"/>
              </w:rPr>
              <w:t>副研究员</w:t>
            </w:r>
          </w:p>
        </w:tc>
        <w:tc>
          <w:tcPr>
            <w:tcW w:w="1667" w:type="dxa"/>
            <w:noWrap w:val="0"/>
            <w:vAlign w:val="center"/>
          </w:tcPr>
          <w:p>
            <w:pPr>
              <w:jc w:val="center"/>
              <w:textAlignment w:val="center"/>
              <w:rPr>
                <w:rFonts w:hint="eastAsia" w:ascii="宋体" w:hAnsi="宋体" w:eastAsia="宋体"/>
                <w:sz w:val="24"/>
                <w:szCs w:val="24"/>
              </w:rPr>
            </w:pPr>
            <w:r>
              <w:rPr>
                <w:rFonts w:hint="eastAsia" w:ascii="宋体" w:hAnsi="宋体" w:eastAsia="宋体"/>
                <w:sz w:val="24"/>
                <w:szCs w:val="24"/>
              </w:rPr>
              <w:t>江苏天楹等离子体科技有限公司</w:t>
            </w:r>
          </w:p>
        </w:tc>
        <w:tc>
          <w:tcPr>
            <w:tcW w:w="1559" w:type="dxa"/>
            <w:noWrap w:val="0"/>
            <w:vAlign w:val="center"/>
          </w:tcPr>
          <w:p>
            <w:pPr>
              <w:jc w:val="center"/>
              <w:textAlignment w:val="center"/>
              <w:rPr>
                <w:rFonts w:hint="eastAsia" w:ascii="宋体" w:hAnsi="宋体" w:eastAsia="宋体"/>
                <w:sz w:val="24"/>
                <w:szCs w:val="24"/>
              </w:rPr>
            </w:pPr>
            <w:r>
              <w:rPr>
                <w:rFonts w:hint="eastAsia" w:ascii="宋体" w:hAnsi="宋体" w:eastAsia="宋体"/>
                <w:sz w:val="24"/>
                <w:szCs w:val="24"/>
              </w:rPr>
              <w:t>标准起草，应用研究</w:t>
            </w:r>
          </w:p>
        </w:tc>
        <w:tc>
          <w:tcPr>
            <w:tcW w:w="2019" w:type="dxa"/>
            <w:noWrap w:val="0"/>
            <w:vAlign w:val="center"/>
          </w:tcPr>
          <w:p>
            <w:pPr>
              <w:jc w:val="center"/>
              <w:textAlignment w:val="center"/>
              <w:rPr>
                <w:rFonts w:hint="eastAsia" w:ascii="宋体" w:hAnsi="宋体" w:eastAsia="宋体"/>
                <w:sz w:val="24"/>
                <w:szCs w:val="24"/>
              </w:rPr>
            </w:pPr>
            <w:r>
              <w:rPr>
                <w:rFonts w:hint="eastAsia" w:ascii="宋体" w:hAnsi="宋体" w:eastAsia="宋体"/>
                <w:sz w:val="24"/>
                <w:szCs w:val="24"/>
              </w:rPr>
              <w:t>制定地方标准</w:t>
            </w:r>
            <w:r>
              <w:rPr>
                <w:rFonts w:hint="eastAsia" w:ascii="宋体" w:hAnsi="宋体" w:eastAsia="宋体"/>
                <w:sz w:val="24"/>
                <w:szCs w:val="24"/>
                <w:lang w:val="en-US" w:eastAsia="zh-CN"/>
              </w:rPr>
              <w:t>2</w:t>
            </w:r>
            <w:r>
              <w:rPr>
                <w:rFonts w:hint="eastAsia" w:ascii="宋体" w:hAnsi="宋体" w:eastAsia="宋体"/>
                <w:sz w:val="24"/>
                <w:szCs w:val="24"/>
              </w:rPr>
              <w:t>项、参与多项国家标准制定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 w:hRule="atLeast"/>
          <w:jc w:val="center"/>
        </w:trPr>
        <w:tc>
          <w:tcPr>
            <w:tcW w:w="1190" w:type="dxa"/>
            <w:noWrap w:val="0"/>
            <w:vAlign w:val="center"/>
          </w:tcPr>
          <w:p>
            <w:pPr>
              <w:jc w:val="center"/>
              <w:textAlignment w:val="center"/>
              <w:rPr>
                <w:rFonts w:hint="eastAsia" w:ascii="宋体" w:hAnsi="宋体" w:eastAsia="宋体"/>
                <w:sz w:val="24"/>
                <w:szCs w:val="24"/>
              </w:rPr>
            </w:pPr>
            <w:r>
              <w:rPr>
                <w:rFonts w:hint="eastAsia" w:ascii="宋体" w:hAnsi="宋体" w:eastAsia="宋体"/>
                <w:sz w:val="24"/>
                <w:szCs w:val="24"/>
              </w:rPr>
              <w:t>杜鹃</w:t>
            </w:r>
          </w:p>
        </w:tc>
        <w:tc>
          <w:tcPr>
            <w:tcW w:w="1362" w:type="dxa"/>
            <w:noWrap w:val="0"/>
            <w:vAlign w:val="center"/>
          </w:tcPr>
          <w:p>
            <w:pPr>
              <w:jc w:val="center"/>
              <w:textAlignment w:val="center"/>
              <w:rPr>
                <w:rFonts w:hint="eastAsia" w:ascii="宋体" w:hAnsi="宋体" w:eastAsia="宋体"/>
                <w:sz w:val="24"/>
                <w:szCs w:val="24"/>
              </w:rPr>
            </w:pPr>
            <w:r>
              <w:rPr>
                <w:rFonts w:hint="eastAsia" w:ascii="宋体" w:hAnsi="宋体" w:eastAsia="宋体"/>
                <w:sz w:val="24"/>
                <w:szCs w:val="24"/>
              </w:rPr>
              <w:t>博士，环境工程</w:t>
            </w:r>
          </w:p>
        </w:tc>
        <w:tc>
          <w:tcPr>
            <w:tcW w:w="1134" w:type="dxa"/>
            <w:noWrap w:val="0"/>
            <w:vAlign w:val="center"/>
          </w:tcPr>
          <w:p>
            <w:pPr>
              <w:jc w:val="center"/>
              <w:textAlignment w:val="center"/>
              <w:rPr>
                <w:rFonts w:hint="eastAsia" w:ascii="宋体" w:hAnsi="宋体" w:eastAsia="宋体"/>
                <w:sz w:val="24"/>
                <w:szCs w:val="24"/>
              </w:rPr>
            </w:pPr>
            <w:r>
              <w:rPr>
                <w:rFonts w:hint="eastAsia" w:ascii="宋体" w:hAnsi="宋体" w:eastAsia="宋体"/>
                <w:sz w:val="24"/>
                <w:szCs w:val="24"/>
              </w:rPr>
              <w:t>工程师</w:t>
            </w:r>
          </w:p>
        </w:tc>
        <w:tc>
          <w:tcPr>
            <w:tcW w:w="1667" w:type="dxa"/>
            <w:noWrap w:val="0"/>
            <w:vAlign w:val="center"/>
          </w:tcPr>
          <w:p>
            <w:pPr>
              <w:jc w:val="center"/>
              <w:textAlignment w:val="center"/>
              <w:rPr>
                <w:rFonts w:hint="eastAsia" w:ascii="宋体" w:hAnsi="宋体" w:eastAsia="宋体"/>
                <w:sz w:val="24"/>
                <w:szCs w:val="24"/>
              </w:rPr>
            </w:pPr>
            <w:r>
              <w:rPr>
                <w:rFonts w:hint="eastAsia" w:ascii="宋体" w:hAnsi="宋体" w:eastAsia="宋体"/>
                <w:sz w:val="24"/>
                <w:szCs w:val="24"/>
              </w:rPr>
              <w:t>江苏天楹等离子体科技有限公司</w:t>
            </w:r>
          </w:p>
        </w:tc>
        <w:tc>
          <w:tcPr>
            <w:tcW w:w="1559" w:type="dxa"/>
            <w:noWrap w:val="0"/>
            <w:vAlign w:val="center"/>
          </w:tcPr>
          <w:p>
            <w:pPr>
              <w:jc w:val="center"/>
              <w:textAlignment w:val="center"/>
              <w:rPr>
                <w:rFonts w:hint="eastAsia" w:ascii="宋体" w:hAnsi="宋体" w:eastAsia="宋体"/>
                <w:sz w:val="24"/>
                <w:szCs w:val="24"/>
              </w:rPr>
            </w:pPr>
            <w:r>
              <w:rPr>
                <w:rFonts w:hint="eastAsia" w:ascii="宋体" w:hAnsi="宋体" w:eastAsia="宋体"/>
                <w:sz w:val="24"/>
                <w:szCs w:val="24"/>
              </w:rPr>
              <w:t>起草标准和编制说明，协助应用研究</w:t>
            </w:r>
          </w:p>
        </w:tc>
        <w:tc>
          <w:tcPr>
            <w:tcW w:w="2019" w:type="dxa"/>
            <w:noWrap w:val="0"/>
            <w:vAlign w:val="center"/>
          </w:tcPr>
          <w:p>
            <w:pPr>
              <w:jc w:val="center"/>
              <w:textAlignment w:val="center"/>
              <w:rPr>
                <w:rFonts w:hint="eastAsia" w:ascii="宋体" w:hAnsi="宋体" w:eastAsia="宋体"/>
                <w:sz w:val="24"/>
                <w:szCs w:val="24"/>
              </w:rPr>
            </w:pPr>
            <w:r>
              <w:rPr>
                <w:rFonts w:hint="eastAsia" w:ascii="宋体" w:hAnsi="宋体" w:eastAsia="宋体"/>
                <w:sz w:val="24"/>
                <w:szCs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 w:hRule="atLeast"/>
          <w:jc w:val="center"/>
        </w:trPr>
        <w:tc>
          <w:tcPr>
            <w:tcW w:w="1190" w:type="dxa"/>
            <w:noWrap w:val="0"/>
            <w:vAlign w:val="center"/>
          </w:tcPr>
          <w:p>
            <w:pPr>
              <w:jc w:val="center"/>
              <w:textAlignment w:val="center"/>
              <w:rPr>
                <w:rFonts w:hint="eastAsia" w:ascii="宋体" w:hAnsi="宋体" w:eastAsia="宋体"/>
                <w:sz w:val="24"/>
                <w:szCs w:val="24"/>
              </w:rPr>
            </w:pPr>
            <w:r>
              <w:rPr>
                <w:rFonts w:hint="eastAsia" w:ascii="宋体" w:hAnsi="宋体" w:eastAsia="宋体"/>
                <w:sz w:val="24"/>
                <w:szCs w:val="24"/>
              </w:rPr>
              <w:t>管晓纳</w:t>
            </w:r>
          </w:p>
        </w:tc>
        <w:tc>
          <w:tcPr>
            <w:tcW w:w="1362" w:type="dxa"/>
            <w:noWrap w:val="0"/>
            <w:vAlign w:val="center"/>
          </w:tcPr>
          <w:p>
            <w:pPr>
              <w:jc w:val="center"/>
              <w:textAlignment w:val="center"/>
              <w:rPr>
                <w:rFonts w:hint="eastAsia" w:ascii="宋体" w:hAnsi="宋体" w:eastAsia="宋体"/>
                <w:sz w:val="24"/>
                <w:szCs w:val="24"/>
              </w:rPr>
            </w:pPr>
            <w:r>
              <w:rPr>
                <w:rFonts w:hint="eastAsia" w:ascii="宋体" w:hAnsi="宋体" w:eastAsia="宋体"/>
                <w:sz w:val="24"/>
                <w:szCs w:val="24"/>
              </w:rPr>
              <w:t>硕士，热能工程</w:t>
            </w:r>
          </w:p>
        </w:tc>
        <w:tc>
          <w:tcPr>
            <w:tcW w:w="1134" w:type="dxa"/>
            <w:noWrap w:val="0"/>
            <w:vAlign w:val="center"/>
          </w:tcPr>
          <w:p>
            <w:pPr>
              <w:jc w:val="center"/>
              <w:textAlignment w:val="center"/>
              <w:rPr>
                <w:rFonts w:hint="eastAsia" w:ascii="宋体" w:hAnsi="宋体" w:eastAsia="宋体"/>
                <w:sz w:val="24"/>
                <w:szCs w:val="24"/>
              </w:rPr>
            </w:pPr>
            <w:r>
              <w:rPr>
                <w:rFonts w:hint="eastAsia" w:ascii="宋体" w:hAnsi="宋体" w:eastAsia="宋体"/>
                <w:sz w:val="24"/>
                <w:szCs w:val="24"/>
              </w:rPr>
              <w:t>工程师</w:t>
            </w:r>
          </w:p>
        </w:tc>
        <w:tc>
          <w:tcPr>
            <w:tcW w:w="1667" w:type="dxa"/>
            <w:noWrap w:val="0"/>
            <w:vAlign w:val="center"/>
          </w:tcPr>
          <w:p>
            <w:pPr>
              <w:jc w:val="center"/>
              <w:textAlignment w:val="center"/>
              <w:rPr>
                <w:rFonts w:hint="eastAsia" w:ascii="宋体" w:hAnsi="宋体" w:eastAsia="宋体"/>
                <w:sz w:val="24"/>
                <w:szCs w:val="24"/>
              </w:rPr>
            </w:pPr>
            <w:r>
              <w:rPr>
                <w:rFonts w:hint="eastAsia" w:ascii="宋体" w:hAnsi="宋体" w:eastAsia="宋体"/>
                <w:sz w:val="24"/>
                <w:szCs w:val="24"/>
              </w:rPr>
              <w:t>江苏天楹等离子体科技有限公司</w:t>
            </w:r>
          </w:p>
        </w:tc>
        <w:tc>
          <w:tcPr>
            <w:tcW w:w="1559" w:type="dxa"/>
            <w:noWrap w:val="0"/>
            <w:vAlign w:val="center"/>
          </w:tcPr>
          <w:p>
            <w:pPr>
              <w:jc w:val="center"/>
              <w:textAlignment w:val="center"/>
              <w:rPr>
                <w:rFonts w:hint="eastAsia" w:ascii="宋体" w:hAnsi="宋体" w:eastAsia="宋体"/>
                <w:sz w:val="24"/>
                <w:szCs w:val="24"/>
              </w:rPr>
            </w:pPr>
            <w:r>
              <w:rPr>
                <w:rFonts w:hint="eastAsia" w:ascii="宋体" w:hAnsi="宋体" w:eastAsia="宋体"/>
                <w:sz w:val="24"/>
                <w:szCs w:val="24"/>
              </w:rPr>
              <w:t>检索国内外应用背景</w:t>
            </w:r>
          </w:p>
        </w:tc>
        <w:tc>
          <w:tcPr>
            <w:tcW w:w="2019" w:type="dxa"/>
            <w:noWrap w:val="0"/>
            <w:vAlign w:val="center"/>
          </w:tcPr>
          <w:p>
            <w:pPr>
              <w:jc w:val="center"/>
              <w:textAlignment w:val="center"/>
              <w:rPr>
                <w:rFonts w:hint="eastAsia" w:ascii="宋体" w:hAnsi="宋体" w:eastAsia="宋体"/>
                <w:sz w:val="24"/>
                <w:szCs w:val="24"/>
              </w:rPr>
            </w:pPr>
            <w:r>
              <w:rPr>
                <w:rFonts w:hint="eastAsia" w:ascii="宋体" w:hAnsi="宋体" w:eastAsia="宋体"/>
                <w:sz w:val="24"/>
                <w:szCs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 w:hRule="atLeast"/>
          <w:jc w:val="center"/>
        </w:trPr>
        <w:tc>
          <w:tcPr>
            <w:tcW w:w="1190" w:type="dxa"/>
            <w:noWrap w:val="0"/>
            <w:vAlign w:val="center"/>
          </w:tcPr>
          <w:p>
            <w:pPr>
              <w:jc w:val="center"/>
              <w:textAlignment w:val="center"/>
              <w:rPr>
                <w:rFonts w:hint="eastAsia" w:ascii="宋体" w:hAnsi="宋体" w:eastAsia="宋体"/>
                <w:sz w:val="24"/>
                <w:szCs w:val="24"/>
              </w:rPr>
            </w:pPr>
            <w:r>
              <w:rPr>
                <w:rFonts w:hint="eastAsia" w:ascii="宋体" w:hAnsi="宋体" w:eastAsia="宋体"/>
                <w:sz w:val="24"/>
                <w:szCs w:val="24"/>
              </w:rPr>
              <w:t>裴思鲁</w:t>
            </w:r>
          </w:p>
        </w:tc>
        <w:tc>
          <w:tcPr>
            <w:tcW w:w="1362" w:type="dxa"/>
            <w:noWrap w:val="0"/>
            <w:vAlign w:val="center"/>
          </w:tcPr>
          <w:p>
            <w:pPr>
              <w:jc w:val="center"/>
              <w:textAlignment w:val="center"/>
              <w:rPr>
                <w:rFonts w:hint="eastAsia" w:ascii="宋体" w:hAnsi="宋体" w:eastAsia="宋体"/>
                <w:sz w:val="24"/>
                <w:szCs w:val="24"/>
              </w:rPr>
            </w:pPr>
            <w:r>
              <w:rPr>
                <w:rFonts w:hint="eastAsia" w:ascii="宋体" w:hAnsi="宋体" w:eastAsia="宋体"/>
                <w:sz w:val="24"/>
                <w:szCs w:val="24"/>
              </w:rPr>
              <w:t>硕士，环境工程</w:t>
            </w:r>
          </w:p>
        </w:tc>
        <w:tc>
          <w:tcPr>
            <w:tcW w:w="1134" w:type="dxa"/>
            <w:noWrap w:val="0"/>
            <w:vAlign w:val="center"/>
          </w:tcPr>
          <w:p>
            <w:pPr>
              <w:jc w:val="center"/>
              <w:textAlignment w:val="center"/>
              <w:rPr>
                <w:rFonts w:hint="eastAsia" w:ascii="宋体" w:hAnsi="宋体" w:eastAsia="宋体"/>
                <w:sz w:val="24"/>
                <w:szCs w:val="24"/>
              </w:rPr>
            </w:pPr>
            <w:r>
              <w:rPr>
                <w:rFonts w:hint="eastAsia" w:ascii="宋体" w:hAnsi="宋体" w:eastAsia="宋体"/>
                <w:sz w:val="24"/>
                <w:szCs w:val="24"/>
              </w:rPr>
              <w:t>工程师</w:t>
            </w:r>
          </w:p>
        </w:tc>
        <w:tc>
          <w:tcPr>
            <w:tcW w:w="1667" w:type="dxa"/>
            <w:noWrap w:val="0"/>
            <w:vAlign w:val="center"/>
          </w:tcPr>
          <w:p>
            <w:pPr>
              <w:jc w:val="center"/>
              <w:textAlignment w:val="center"/>
              <w:rPr>
                <w:rFonts w:hint="eastAsia" w:ascii="宋体" w:hAnsi="宋体" w:eastAsia="宋体"/>
                <w:sz w:val="24"/>
                <w:szCs w:val="24"/>
              </w:rPr>
            </w:pPr>
            <w:r>
              <w:rPr>
                <w:rFonts w:hint="eastAsia" w:ascii="宋体" w:hAnsi="宋体" w:eastAsia="宋体"/>
                <w:sz w:val="24"/>
                <w:szCs w:val="24"/>
              </w:rPr>
              <w:t>江苏天楹等离子体科技有限公司</w:t>
            </w:r>
          </w:p>
        </w:tc>
        <w:tc>
          <w:tcPr>
            <w:tcW w:w="1559" w:type="dxa"/>
            <w:noWrap w:val="0"/>
            <w:vAlign w:val="center"/>
          </w:tcPr>
          <w:p>
            <w:pPr>
              <w:jc w:val="center"/>
              <w:textAlignment w:val="center"/>
              <w:rPr>
                <w:rFonts w:hint="eastAsia" w:ascii="宋体" w:hAnsi="宋体" w:eastAsia="宋体"/>
                <w:sz w:val="24"/>
                <w:szCs w:val="24"/>
              </w:rPr>
            </w:pPr>
            <w:r>
              <w:rPr>
                <w:rFonts w:hint="eastAsia" w:ascii="宋体" w:hAnsi="宋体" w:eastAsia="宋体"/>
                <w:sz w:val="24"/>
                <w:szCs w:val="24"/>
              </w:rPr>
              <w:t>检索国内外标准并分析，翻译相似标准</w:t>
            </w:r>
          </w:p>
        </w:tc>
        <w:tc>
          <w:tcPr>
            <w:tcW w:w="2019" w:type="dxa"/>
            <w:noWrap w:val="0"/>
            <w:vAlign w:val="center"/>
          </w:tcPr>
          <w:p>
            <w:pPr>
              <w:jc w:val="center"/>
              <w:textAlignment w:val="center"/>
              <w:rPr>
                <w:rFonts w:hint="eastAsia" w:ascii="宋体" w:hAnsi="宋体" w:eastAsia="宋体"/>
                <w:sz w:val="24"/>
                <w:szCs w:val="24"/>
              </w:rPr>
            </w:pPr>
            <w:r>
              <w:rPr>
                <w:rFonts w:hint="eastAsia" w:ascii="宋体" w:hAnsi="宋体" w:eastAsia="宋体"/>
                <w:sz w:val="24"/>
                <w:szCs w:val="24"/>
              </w:rPr>
              <w:t>/</w:t>
            </w:r>
          </w:p>
        </w:tc>
      </w:tr>
    </w:tbl>
    <w:p>
      <w:pPr>
        <w:pStyle w:val="32"/>
        <w:keepNext w:val="0"/>
        <w:keepLines w:val="0"/>
        <w:pageBreakBefore w:val="0"/>
        <w:widowControl w:val="0"/>
        <w:kinsoku/>
        <w:wordWrap/>
        <w:overflowPunct/>
        <w:topLinePunct w:val="0"/>
        <w:autoSpaceDE/>
        <w:autoSpaceDN/>
        <w:bidi w:val="0"/>
        <w:adjustRightInd/>
        <w:snapToGrid/>
        <w:ind w:firstLine="0" w:firstLineChars="0"/>
        <w:jc w:val="center"/>
        <w:textAlignment w:val="auto"/>
        <w:rPr>
          <w:color w:val="auto"/>
        </w:rPr>
      </w:pPr>
    </w:p>
    <w:bookmarkEnd w:id="108"/>
    <w:p>
      <w:pPr>
        <w:pStyle w:val="32"/>
        <w:rPr>
          <w:color w:val="auto"/>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Wingdings">
    <w:panose1 w:val="05000000000000000000"/>
    <w:charset w:val="00"/>
    <w:family w:val="auto"/>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803230375"/>
      <w:docPartObj>
        <w:docPartGallery w:val="autotext"/>
      </w:docPartObj>
    </w:sdtPr>
    <w:sdtContent>
      <w:p>
        <w:pPr>
          <w:pStyle w:val="10"/>
          <w:jc w:val="center"/>
        </w:pPr>
      </w:p>
    </w:sdtContent>
  </w:sdt>
  <w:p>
    <w:pPr>
      <w:pStyle w:val="1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447583801"/>
      <w:docPartObj>
        <w:docPartGallery w:val="autotext"/>
      </w:docPartObj>
    </w:sdtPr>
    <w:sdtContent>
      <w:p>
        <w:pPr>
          <w:pStyle w:val="10"/>
          <w:jc w:val="center"/>
        </w:pPr>
        <w:r>
          <w:fldChar w:fldCharType="begin"/>
        </w:r>
        <w:r>
          <w:instrText xml:space="preserve">PAGE   \* MERGEFORMAT</w:instrText>
        </w:r>
        <w:r>
          <w:fldChar w:fldCharType="separate"/>
        </w:r>
        <w:r>
          <w:rPr>
            <w:lang w:val="zh-CN"/>
          </w:rPr>
          <w:t>II</w:t>
        </w:r>
        <w:r>
          <w:fldChar w:fldCharType="end"/>
        </w:r>
      </w:p>
    </w:sdtContent>
  </w:sdt>
  <w:p>
    <w:pPr>
      <w:pStyle w:val="1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967087623"/>
      <w:docPartObj>
        <w:docPartGallery w:val="autotext"/>
      </w:docPartObj>
    </w:sdtPr>
    <w:sdtContent>
      <w:p>
        <w:pPr>
          <w:pStyle w:val="10"/>
          <w:jc w:val="center"/>
        </w:pPr>
        <w:r>
          <w:fldChar w:fldCharType="begin"/>
        </w:r>
        <w:r>
          <w:instrText xml:space="preserve">PAGE   \* MERGEFORMAT</w:instrText>
        </w:r>
        <w:r>
          <w:fldChar w:fldCharType="separate"/>
        </w:r>
        <w:r>
          <w:rPr>
            <w:lang w:val="zh-CN"/>
          </w:rPr>
          <w:t>76</w:t>
        </w:r>
        <w:r>
          <w:fldChar w:fldCharType="end"/>
        </w:r>
      </w:p>
    </w:sdtContent>
  </w:sdt>
  <w:p>
    <w:pPr>
      <w:pStyle w:val="10"/>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F2E67B1"/>
    <w:multiLevelType w:val="multilevel"/>
    <w:tmpl w:val="1F2E67B1"/>
    <w:lvl w:ilvl="0" w:tentative="0">
      <w:start w:val="1"/>
      <w:numFmt w:val="decimal"/>
      <w:suff w:val="space"/>
      <w:lvlText w:val="图 3-%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1FC91163"/>
    <w:multiLevelType w:val="multilevel"/>
    <w:tmpl w:val="1FC91163"/>
    <w:lvl w:ilvl="0" w:tentative="0">
      <w:start w:val="1"/>
      <w:numFmt w:val="decimal"/>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42"/>
      <w:suff w:val="nothing"/>
      <w:lvlText w:val="%1.%2　"/>
      <w:lvlJc w:val="left"/>
      <w:pPr>
        <w:ind w:left="0" w:firstLine="0"/>
      </w:pPr>
      <w:rPr>
        <w:rFonts w:hint="eastAsia" w:ascii="黑体" w:hAnsi="Times New Roman" w:eastAsia="黑体" w:cs="Times New Roman"/>
        <w:b w:val="0"/>
        <w:bCs w:val="0"/>
        <w:i w:val="0"/>
        <w:iCs w:val="0"/>
        <w:caps w:val="0"/>
        <w:strike w:val="0"/>
        <w:dstrike w:val="0"/>
        <w:vanish w:val="0"/>
        <w:spacing w:val="0"/>
        <w:kern w:val="0"/>
        <w:position w:val="0"/>
        <w:sz w:val="21"/>
        <w:szCs w:val="21"/>
        <w:u w:val="none"/>
        <w:vertAlign w:val="baseline"/>
      </w:rPr>
    </w:lvl>
    <w:lvl w:ilvl="2" w:tentative="0">
      <w:start w:val="1"/>
      <w:numFmt w:val="decimal"/>
      <w:pStyle w:val="41"/>
      <w:suff w:val="nothing"/>
      <w:lvlText w:val="%1.%2.%3　"/>
      <w:lvlJc w:val="left"/>
      <w:rPr>
        <w:rFonts w:hint="eastAsia" w:ascii="黑体" w:hAnsi="黑体" w:eastAsia="黑体"/>
        <w:b w:val="0"/>
        <w:i w:val="0"/>
        <w:color w:val="auto"/>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
    <w:nsid w:val="2E0C0812"/>
    <w:multiLevelType w:val="singleLevel"/>
    <w:tmpl w:val="2E0C0812"/>
    <w:lvl w:ilvl="0" w:tentative="0">
      <w:start w:val="3"/>
      <w:numFmt w:val="decimal"/>
      <w:suff w:val="nothing"/>
      <w:lvlText w:val="（%1）"/>
      <w:lvlJc w:val="left"/>
    </w:lvl>
  </w:abstractNum>
  <w:abstractNum w:abstractNumId="3">
    <w:nsid w:val="40885BA6"/>
    <w:multiLevelType w:val="multilevel"/>
    <w:tmpl w:val="40885BA6"/>
    <w:lvl w:ilvl="0" w:tentative="0">
      <w:start w:val="1"/>
      <w:numFmt w:val="decimal"/>
      <w:suff w:val="space"/>
      <w:lvlText w:val="表 9-%1"/>
      <w:lvlJc w:val="left"/>
      <w:pPr>
        <w:tabs>
          <w:tab w:val="left" w:pos="0"/>
        </w:tabs>
        <w:ind w:left="420" w:hanging="420"/>
      </w:pPr>
      <w:rPr>
        <w:rFonts w:hint="default" w:ascii="宋体" w:hAnsi="宋体" w:eastAsia="宋体" w:cs="宋体"/>
        <w:b/>
        <w:bCs/>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437B0924"/>
    <w:multiLevelType w:val="multilevel"/>
    <w:tmpl w:val="437B0924"/>
    <w:lvl w:ilvl="0" w:tentative="0">
      <w:start w:val="1"/>
      <w:numFmt w:val="decimal"/>
      <w:suff w:val="space"/>
      <w:lvlText w:val="图 2-%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48994AD9"/>
    <w:multiLevelType w:val="multilevel"/>
    <w:tmpl w:val="48994AD9"/>
    <w:lvl w:ilvl="0" w:tentative="0">
      <w:start w:val="1"/>
      <w:numFmt w:val="decimal"/>
      <w:suff w:val="nothing"/>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4AFF4E8F"/>
    <w:multiLevelType w:val="multilevel"/>
    <w:tmpl w:val="4AFF4E8F"/>
    <w:lvl w:ilvl="0" w:tentative="0">
      <w:start w:val="1"/>
      <w:numFmt w:val="decimal"/>
      <w:suff w:val="space"/>
      <w:lvlText w:val="2.3.2.%1"/>
      <w:lvlJc w:val="left"/>
      <w:pPr>
        <w:ind w:left="420" w:hanging="420"/>
      </w:pPr>
      <w:rPr>
        <w:rFonts w:hint="default" w:ascii="Times New Roman" w:hAnsi="Times New Roman" w:eastAsia="宋体" w:cs="Times New Roman"/>
      </w:rPr>
    </w:lvl>
    <w:lvl w:ilvl="1" w:tentative="0">
      <w:start w:val="2"/>
      <w:numFmt w:val="decimalEnclosedCircle"/>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534D7BF9"/>
    <w:multiLevelType w:val="multilevel"/>
    <w:tmpl w:val="534D7BF9"/>
    <w:lvl w:ilvl="0" w:tentative="0">
      <w:start w:val="1"/>
      <w:numFmt w:val="decimal"/>
      <w:suff w:val="space"/>
      <w:lvlText w:val="表 7-%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54593201"/>
    <w:multiLevelType w:val="multilevel"/>
    <w:tmpl w:val="54593201"/>
    <w:lvl w:ilvl="0" w:tentative="0">
      <w:start w:val="1"/>
      <w:numFmt w:val="decimal"/>
      <w:suff w:val="space"/>
      <w:lvlText w:val="图 7-%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599E3CE0"/>
    <w:multiLevelType w:val="multilevel"/>
    <w:tmpl w:val="599E3CE0"/>
    <w:lvl w:ilvl="0" w:tentative="0">
      <w:start w:val="1"/>
      <w:numFmt w:val="decimal"/>
      <w:suff w:val="space"/>
      <w:lvlText w:val="表 3-%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
    <w:nsid w:val="5CB3182D"/>
    <w:multiLevelType w:val="multilevel"/>
    <w:tmpl w:val="5CB3182D"/>
    <w:lvl w:ilvl="0" w:tentative="0">
      <w:start w:val="1"/>
      <w:numFmt w:val="decimal"/>
      <w:suff w:val="space"/>
      <w:lvlText w:val="2.3.1.%1"/>
      <w:lvlJc w:val="left"/>
      <w:pPr>
        <w:ind w:left="420" w:hanging="420"/>
      </w:pPr>
      <w:rPr>
        <w:rFonts w:hint="default" w:ascii="Times New Roman" w:hAnsi="Times New Roman" w:eastAsia="宋体" w:cs="Times New Roman"/>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654B3E54"/>
    <w:multiLevelType w:val="multilevel"/>
    <w:tmpl w:val="654B3E54"/>
    <w:lvl w:ilvl="0" w:tentative="0">
      <w:start w:val="1"/>
      <w:numFmt w:val="decimal"/>
      <w:suff w:val="space"/>
      <w:lvlText w:val="表 5-%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6A300B05"/>
    <w:multiLevelType w:val="multilevel"/>
    <w:tmpl w:val="6A300B05"/>
    <w:lvl w:ilvl="0" w:tentative="0">
      <w:start w:val="1"/>
      <w:numFmt w:val="decimal"/>
      <w:suff w:val="space"/>
      <w:lvlText w:val="图 5-%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6B8405BD"/>
    <w:multiLevelType w:val="multilevel"/>
    <w:tmpl w:val="6B8405BD"/>
    <w:lvl w:ilvl="0" w:tentative="0">
      <w:start w:val="1"/>
      <w:numFmt w:val="decimal"/>
      <w:pStyle w:val="2"/>
      <w:lvlText w:val="%1"/>
      <w:lvlJc w:val="left"/>
      <w:pPr>
        <w:ind w:left="425" w:hanging="425"/>
      </w:pPr>
      <w:rPr>
        <w:rFonts w:hint="eastAsia"/>
      </w:rPr>
    </w:lvl>
    <w:lvl w:ilvl="1" w:tentative="0">
      <w:start w:val="1"/>
      <w:numFmt w:val="decimal"/>
      <w:pStyle w:val="3"/>
      <w:lvlText w:val="%1.%2"/>
      <w:lvlJc w:val="left"/>
      <w:pPr>
        <w:ind w:left="425" w:hanging="425"/>
      </w:pPr>
      <w:rPr>
        <w:rFonts w:hint="eastAsia"/>
      </w:rPr>
    </w:lvl>
    <w:lvl w:ilvl="2" w:tentative="0">
      <w:start w:val="1"/>
      <w:numFmt w:val="decimal"/>
      <w:pStyle w:val="4"/>
      <w:lvlText w:val="%1.%2.%3"/>
      <w:lvlJc w:val="left"/>
      <w:pPr>
        <w:ind w:left="425" w:hanging="425"/>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4">
    <w:nsid w:val="7CBF10D0"/>
    <w:multiLevelType w:val="multilevel"/>
    <w:tmpl w:val="7CBF10D0"/>
    <w:lvl w:ilvl="0" w:tentative="0">
      <w:start w:val="1"/>
      <w:numFmt w:val="decimal"/>
      <w:suff w:val="space"/>
      <w:lvlText w:val="表 2-%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3"/>
  </w:num>
  <w:num w:numId="2">
    <w:abstractNumId w:val="1"/>
  </w:num>
  <w:num w:numId="3">
    <w:abstractNumId w:val="14"/>
  </w:num>
  <w:num w:numId="4">
    <w:abstractNumId w:val="4"/>
  </w:num>
  <w:num w:numId="5">
    <w:abstractNumId w:val="10"/>
  </w:num>
  <w:num w:numId="6">
    <w:abstractNumId w:val="6"/>
  </w:num>
  <w:num w:numId="7">
    <w:abstractNumId w:val="0"/>
  </w:num>
  <w:num w:numId="8">
    <w:abstractNumId w:val="9"/>
  </w:num>
  <w:num w:numId="9">
    <w:abstractNumId w:val="5"/>
  </w:num>
  <w:num w:numId="10">
    <w:abstractNumId w:val="8"/>
  </w:num>
  <w:num w:numId="11">
    <w:abstractNumId w:val="7"/>
  </w:num>
  <w:num w:numId="12">
    <w:abstractNumId w:val="2"/>
  </w:num>
  <w:num w:numId="13">
    <w:abstractNumId w:val="12"/>
  </w:num>
  <w:num w:numId="14">
    <w:abstractNumId w:val="11"/>
  </w:num>
  <w:num w:numId="1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QyNmRkOTU4Mjk0ZDM3OTY3OGQ4ZmYxODgwNDY3YTAifQ=="/>
    <w:docVar w:name="KSO_WPS_MARK_KEY" w:val="c4675ccf-cc78-4e60-9526-37efe91586d1"/>
  </w:docVars>
  <w:rsids>
    <w:rsidRoot w:val="005405C4"/>
    <w:rsid w:val="000011BA"/>
    <w:rsid w:val="00004DA2"/>
    <w:rsid w:val="00004E23"/>
    <w:rsid w:val="0000599E"/>
    <w:rsid w:val="0000674C"/>
    <w:rsid w:val="00007013"/>
    <w:rsid w:val="000075A7"/>
    <w:rsid w:val="000076D4"/>
    <w:rsid w:val="00010613"/>
    <w:rsid w:val="00010C42"/>
    <w:rsid w:val="00010FFA"/>
    <w:rsid w:val="0001118B"/>
    <w:rsid w:val="00013B9C"/>
    <w:rsid w:val="00014640"/>
    <w:rsid w:val="00015D3A"/>
    <w:rsid w:val="0001613E"/>
    <w:rsid w:val="00017185"/>
    <w:rsid w:val="0001769A"/>
    <w:rsid w:val="0002283B"/>
    <w:rsid w:val="0002346C"/>
    <w:rsid w:val="00023B4B"/>
    <w:rsid w:val="00024375"/>
    <w:rsid w:val="00025765"/>
    <w:rsid w:val="00027021"/>
    <w:rsid w:val="000320AF"/>
    <w:rsid w:val="00032CCE"/>
    <w:rsid w:val="000333DC"/>
    <w:rsid w:val="00035415"/>
    <w:rsid w:val="00035AFE"/>
    <w:rsid w:val="000376A8"/>
    <w:rsid w:val="00040637"/>
    <w:rsid w:val="0004278B"/>
    <w:rsid w:val="000427A6"/>
    <w:rsid w:val="0004589C"/>
    <w:rsid w:val="00045F38"/>
    <w:rsid w:val="0004607B"/>
    <w:rsid w:val="00046B6B"/>
    <w:rsid w:val="00054896"/>
    <w:rsid w:val="00054E85"/>
    <w:rsid w:val="00054F3D"/>
    <w:rsid w:val="0005518C"/>
    <w:rsid w:val="000559C8"/>
    <w:rsid w:val="00060010"/>
    <w:rsid w:val="00060444"/>
    <w:rsid w:val="000627F2"/>
    <w:rsid w:val="000636FB"/>
    <w:rsid w:val="00067AFD"/>
    <w:rsid w:val="00070FF1"/>
    <w:rsid w:val="00072AF3"/>
    <w:rsid w:val="0007498E"/>
    <w:rsid w:val="000761BC"/>
    <w:rsid w:val="000762B4"/>
    <w:rsid w:val="000776CC"/>
    <w:rsid w:val="0007779C"/>
    <w:rsid w:val="00077E47"/>
    <w:rsid w:val="00081190"/>
    <w:rsid w:val="00081B1B"/>
    <w:rsid w:val="000865ED"/>
    <w:rsid w:val="0008742A"/>
    <w:rsid w:val="00090230"/>
    <w:rsid w:val="00092CB2"/>
    <w:rsid w:val="000941EF"/>
    <w:rsid w:val="0009443D"/>
    <w:rsid w:val="0009461A"/>
    <w:rsid w:val="00094DFD"/>
    <w:rsid w:val="00096AE3"/>
    <w:rsid w:val="000A2F13"/>
    <w:rsid w:val="000A441C"/>
    <w:rsid w:val="000A5076"/>
    <w:rsid w:val="000A52C6"/>
    <w:rsid w:val="000A5392"/>
    <w:rsid w:val="000A6106"/>
    <w:rsid w:val="000A763B"/>
    <w:rsid w:val="000A79E3"/>
    <w:rsid w:val="000B05C3"/>
    <w:rsid w:val="000B19EA"/>
    <w:rsid w:val="000B214D"/>
    <w:rsid w:val="000B5C77"/>
    <w:rsid w:val="000C03AC"/>
    <w:rsid w:val="000C0432"/>
    <w:rsid w:val="000C1D66"/>
    <w:rsid w:val="000C3347"/>
    <w:rsid w:val="000C4976"/>
    <w:rsid w:val="000C4DCB"/>
    <w:rsid w:val="000C5AC2"/>
    <w:rsid w:val="000C65F4"/>
    <w:rsid w:val="000C7D3A"/>
    <w:rsid w:val="000D0307"/>
    <w:rsid w:val="000D037E"/>
    <w:rsid w:val="000D6B65"/>
    <w:rsid w:val="000D7389"/>
    <w:rsid w:val="000E0208"/>
    <w:rsid w:val="000E1325"/>
    <w:rsid w:val="000E3EFA"/>
    <w:rsid w:val="000E410D"/>
    <w:rsid w:val="000E4C9D"/>
    <w:rsid w:val="000E6074"/>
    <w:rsid w:val="000E7342"/>
    <w:rsid w:val="000F00F5"/>
    <w:rsid w:val="000F0FD6"/>
    <w:rsid w:val="000F1280"/>
    <w:rsid w:val="000F12D6"/>
    <w:rsid w:val="000F2639"/>
    <w:rsid w:val="000F3EB6"/>
    <w:rsid w:val="000F4705"/>
    <w:rsid w:val="000F78CD"/>
    <w:rsid w:val="001000EF"/>
    <w:rsid w:val="001009B9"/>
    <w:rsid w:val="00100C2B"/>
    <w:rsid w:val="00101DD0"/>
    <w:rsid w:val="00102348"/>
    <w:rsid w:val="001026F3"/>
    <w:rsid w:val="00103C2C"/>
    <w:rsid w:val="00105910"/>
    <w:rsid w:val="001059EE"/>
    <w:rsid w:val="00106B16"/>
    <w:rsid w:val="00107224"/>
    <w:rsid w:val="00110052"/>
    <w:rsid w:val="00112711"/>
    <w:rsid w:val="00114934"/>
    <w:rsid w:val="00115948"/>
    <w:rsid w:val="00116421"/>
    <w:rsid w:val="0011668E"/>
    <w:rsid w:val="00116FC8"/>
    <w:rsid w:val="00120227"/>
    <w:rsid w:val="0012171C"/>
    <w:rsid w:val="00121E52"/>
    <w:rsid w:val="00122A17"/>
    <w:rsid w:val="00122F6D"/>
    <w:rsid w:val="00124087"/>
    <w:rsid w:val="00125AA9"/>
    <w:rsid w:val="00126AC0"/>
    <w:rsid w:val="0012737A"/>
    <w:rsid w:val="0012767F"/>
    <w:rsid w:val="0013196D"/>
    <w:rsid w:val="00133891"/>
    <w:rsid w:val="00137032"/>
    <w:rsid w:val="00137495"/>
    <w:rsid w:val="0013767E"/>
    <w:rsid w:val="001376EE"/>
    <w:rsid w:val="001408BE"/>
    <w:rsid w:val="00142013"/>
    <w:rsid w:val="00142C39"/>
    <w:rsid w:val="001431CE"/>
    <w:rsid w:val="00147544"/>
    <w:rsid w:val="00147BED"/>
    <w:rsid w:val="00150571"/>
    <w:rsid w:val="00150980"/>
    <w:rsid w:val="00150A0A"/>
    <w:rsid w:val="00152531"/>
    <w:rsid w:val="001534B6"/>
    <w:rsid w:val="0015373E"/>
    <w:rsid w:val="00153A32"/>
    <w:rsid w:val="00153CB7"/>
    <w:rsid w:val="00154A3F"/>
    <w:rsid w:val="001560D8"/>
    <w:rsid w:val="00156102"/>
    <w:rsid w:val="001570A7"/>
    <w:rsid w:val="001573C8"/>
    <w:rsid w:val="0016175A"/>
    <w:rsid w:val="001618A2"/>
    <w:rsid w:val="00161E21"/>
    <w:rsid w:val="00165E0A"/>
    <w:rsid w:val="00165F0E"/>
    <w:rsid w:val="00166CB6"/>
    <w:rsid w:val="00170ECE"/>
    <w:rsid w:val="001735A2"/>
    <w:rsid w:val="0017522A"/>
    <w:rsid w:val="00176F60"/>
    <w:rsid w:val="001801D7"/>
    <w:rsid w:val="00180BEC"/>
    <w:rsid w:val="001821A5"/>
    <w:rsid w:val="00182BAC"/>
    <w:rsid w:val="00183024"/>
    <w:rsid w:val="0018375D"/>
    <w:rsid w:val="001837AF"/>
    <w:rsid w:val="001842B2"/>
    <w:rsid w:val="001864DB"/>
    <w:rsid w:val="0018784D"/>
    <w:rsid w:val="00187D80"/>
    <w:rsid w:val="001947B9"/>
    <w:rsid w:val="0019553A"/>
    <w:rsid w:val="001965D2"/>
    <w:rsid w:val="001970FC"/>
    <w:rsid w:val="0019713C"/>
    <w:rsid w:val="001977B9"/>
    <w:rsid w:val="001A0669"/>
    <w:rsid w:val="001A0839"/>
    <w:rsid w:val="001A0E6C"/>
    <w:rsid w:val="001A1A9F"/>
    <w:rsid w:val="001A22DA"/>
    <w:rsid w:val="001A328B"/>
    <w:rsid w:val="001A44C0"/>
    <w:rsid w:val="001A6E56"/>
    <w:rsid w:val="001A7235"/>
    <w:rsid w:val="001A7775"/>
    <w:rsid w:val="001B0920"/>
    <w:rsid w:val="001B10FD"/>
    <w:rsid w:val="001B1320"/>
    <w:rsid w:val="001B195A"/>
    <w:rsid w:val="001B3C05"/>
    <w:rsid w:val="001B4169"/>
    <w:rsid w:val="001B45BE"/>
    <w:rsid w:val="001C0820"/>
    <w:rsid w:val="001C3D28"/>
    <w:rsid w:val="001C426B"/>
    <w:rsid w:val="001D5E5D"/>
    <w:rsid w:val="001D6E21"/>
    <w:rsid w:val="001E00EA"/>
    <w:rsid w:val="001E034B"/>
    <w:rsid w:val="001E0E6C"/>
    <w:rsid w:val="001E1E3A"/>
    <w:rsid w:val="001E477B"/>
    <w:rsid w:val="001E60A1"/>
    <w:rsid w:val="001F3D6D"/>
    <w:rsid w:val="001F6294"/>
    <w:rsid w:val="001F7796"/>
    <w:rsid w:val="001F7AC3"/>
    <w:rsid w:val="001F7C9D"/>
    <w:rsid w:val="00201F12"/>
    <w:rsid w:val="00203109"/>
    <w:rsid w:val="002046A4"/>
    <w:rsid w:val="00205E7F"/>
    <w:rsid w:val="00210453"/>
    <w:rsid w:val="002106E2"/>
    <w:rsid w:val="00211159"/>
    <w:rsid w:val="00211E5C"/>
    <w:rsid w:val="0021424C"/>
    <w:rsid w:val="00215970"/>
    <w:rsid w:val="00216B52"/>
    <w:rsid w:val="0022402A"/>
    <w:rsid w:val="00224F8E"/>
    <w:rsid w:val="00226460"/>
    <w:rsid w:val="00227A62"/>
    <w:rsid w:val="00230104"/>
    <w:rsid w:val="002325C1"/>
    <w:rsid w:val="002337B7"/>
    <w:rsid w:val="00234749"/>
    <w:rsid w:val="00234BB2"/>
    <w:rsid w:val="00235F42"/>
    <w:rsid w:val="002366EA"/>
    <w:rsid w:val="0023749B"/>
    <w:rsid w:val="00240A87"/>
    <w:rsid w:val="002414E5"/>
    <w:rsid w:val="00244E74"/>
    <w:rsid w:val="00245826"/>
    <w:rsid w:val="00247B00"/>
    <w:rsid w:val="002517F3"/>
    <w:rsid w:val="00251A82"/>
    <w:rsid w:val="00253489"/>
    <w:rsid w:val="002535B7"/>
    <w:rsid w:val="00253903"/>
    <w:rsid w:val="00254AE4"/>
    <w:rsid w:val="00262D9E"/>
    <w:rsid w:val="00263E0D"/>
    <w:rsid w:val="00264926"/>
    <w:rsid w:val="00266A0B"/>
    <w:rsid w:val="002678F1"/>
    <w:rsid w:val="0027114E"/>
    <w:rsid w:val="00272DCD"/>
    <w:rsid w:val="002741E0"/>
    <w:rsid w:val="002775DF"/>
    <w:rsid w:val="00280257"/>
    <w:rsid w:val="0028242E"/>
    <w:rsid w:val="00283216"/>
    <w:rsid w:val="002836A6"/>
    <w:rsid w:val="00284B33"/>
    <w:rsid w:val="0028618A"/>
    <w:rsid w:val="00290B31"/>
    <w:rsid w:val="00290CED"/>
    <w:rsid w:val="002911E3"/>
    <w:rsid w:val="00294909"/>
    <w:rsid w:val="0029492B"/>
    <w:rsid w:val="002952F7"/>
    <w:rsid w:val="00295CFF"/>
    <w:rsid w:val="002A1B01"/>
    <w:rsid w:val="002A23FE"/>
    <w:rsid w:val="002A3159"/>
    <w:rsid w:val="002A3666"/>
    <w:rsid w:val="002A4DA6"/>
    <w:rsid w:val="002A4DF0"/>
    <w:rsid w:val="002A5CC8"/>
    <w:rsid w:val="002B0560"/>
    <w:rsid w:val="002B0AE9"/>
    <w:rsid w:val="002B0EB3"/>
    <w:rsid w:val="002B1E45"/>
    <w:rsid w:val="002B2948"/>
    <w:rsid w:val="002B4236"/>
    <w:rsid w:val="002B426A"/>
    <w:rsid w:val="002B43F9"/>
    <w:rsid w:val="002B6579"/>
    <w:rsid w:val="002B7DDD"/>
    <w:rsid w:val="002C25C0"/>
    <w:rsid w:val="002C2AFF"/>
    <w:rsid w:val="002C49BC"/>
    <w:rsid w:val="002C4C27"/>
    <w:rsid w:val="002C69A8"/>
    <w:rsid w:val="002D1423"/>
    <w:rsid w:val="002D2CA5"/>
    <w:rsid w:val="002D4342"/>
    <w:rsid w:val="002D4A56"/>
    <w:rsid w:val="002D68F9"/>
    <w:rsid w:val="002D7839"/>
    <w:rsid w:val="002E0330"/>
    <w:rsid w:val="002E0E41"/>
    <w:rsid w:val="002E1B8A"/>
    <w:rsid w:val="002E2EF4"/>
    <w:rsid w:val="002E3E47"/>
    <w:rsid w:val="002E4D99"/>
    <w:rsid w:val="002E64F8"/>
    <w:rsid w:val="002F0CE4"/>
    <w:rsid w:val="002F126C"/>
    <w:rsid w:val="002F15ED"/>
    <w:rsid w:val="002F1797"/>
    <w:rsid w:val="002F20F4"/>
    <w:rsid w:val="002F23FE"/>
    <w:rsid w:val="002F28C5"/>
    <w:rsid w:val="002F346A"/>
    <w:rsid w:val="002F4570"/>
    <w:rsid w:val="002F6AB2"/>
    <w:rsid w:val="002F7431"/>
    <w:rsid w:val="002F7BDE"/>
    <w:rsid w:val="002F7D71"/>
    <w:rsid w:val="00300370"/>
    <w:rsid w:val="00300ABC"/>
    <w:rsid w:val="003030A2"/>
    <w:rsid w:val="0030339D"/>
    <w:rsid w:val="0030372E"/>
    <w:rsid w:val="003059E4"/>
    <w:rsid w:val="00310594"/>
    <w:rsid w:val="00310809"/>
    <w:rsid w:val="00310CE6"/>
    <w:rsid w:val="003112A3"/>
    <w:rsid w:val="0031527D"/>
    <w:rsid w:val="0031588B"/>
    <w:rsid w:val="00316A62"/>
    <w:rsid w:val="00317BF3"/>
    <w:rsid w:val="003213E2"/>
    <w:rsid w:val="0032171E"/>
    <w:rsid w:val="00322829"/>
    <w:rsid w:val="00323182"/>
    <w:rsid w:val="0032549C"/>
    <w:rsid w:val="00325884"/>
    <w:rsid w:val="003258E3"/>
    <w:rsid w:val="003270C9"/>
    <w:rsid w:val="00331E31"/>
    <w:rsid w:val="003355B7"/>
    <w:rsid w:val="00335B5B"/>
    <w:rsid w:val="00335FB5"/>
    <w:rsid w:val="00336912"/>
    <w:rsid w:val="00337261"/>
    <w:rsid w:val="00337796"/>
    <w:rsid w:val="00341C7A"/>
    <w:rsid w:val="00341DFA"/>
    <w:rsid w:val="0034285C"/>
    <w:rsid w:val="00342F9D"/>
    <w:rsid w:val="0034345A"/>
    <w:rsid w:val="00344BB9"/>
    <w:rsid w:val="00344BF5"/>
    <w:rsid w:val="00345DD8"/>
    <w:rsid w:val="00347C30"/>
    <w:rsid w:val="00347D23"/>
    <w:rsid w:val="00350A57"/>
    <w:rsid w:val="00350FEA"/>
    <w:rsid w:val="003519DA"/>
    <w:rsid w:val="00351BFD"/>
    <w:rsid w:val="00353198"/>
    <w:rsid w:val="00355C68"/>
    <w:rsid w:val="003565C6"/>
    <w:rsid w:val="00356809"/>
    <w:rsid w:val="003568B6"/>
    <w:rsid w:val="00357FB4"/>
    <w:rsid w:val="00360C16"/>
    <w:rsid w:val="00360D67"/>
    <w:rsid w:val="00360E18"/>
    <w:rsid w:val="00362B34"/>
    <w:rsid w:val="00363104"/>
    <w:rsid w:val="0036396E"/>
    <w:rsid w:val="00364B0B"/>
    <w:rsid w:val="003701CF"/>
    <w:rsid w:val="00370876"/>
    <w:rsid w:val="003709B0"/>
    <w:rsid w:val="003717D4"/>
    <w:rsid w:val="003724EE"/>
    <w:rsid w:val="0037276B"/>
    <w:rsid w:val="00373A24"/>
    <w:rsid w:val="003742BB"/>
    <w:rsid w:val="00375636"/>
    <w:rsid w:val="0037696C"/>
    <w:rsid w:val="0038151A"/>
    <w:rsid w:val="00381A4A"/>
    <w:rsid w:val="00381D85"/>
    <w:rsid w:val="00382191"/>
    <w:rsid w:val="00383310"/>
    <w:rsid w:val="00384A1D"/>
    <w:rsid w:val="00386034"/>
    <w:rsid w:val="003867E6"/>
    <w:rsid w:val="00387B77"/>
    <w:rsid w:val="003953FF"/>
    <w:rsid w:val="0039621E"/>
    <w:rsid w:val="003966C5"/>
    <w:rsid w:val="003A10D4"/>
    <w:rsid w:val="003A1114"/>
    <w:rsid w:val="003A277C"/>
    <w:rsid w:val="003A35E7"/>
    <w:rsid w:val="003A391B"/>
    <w:rsid w:val="003A40D1"/>
    <w:rsid w:val="003A47C3"/>
    <w:rsid w:val="003A4BCD"/>
    <w:rsid w:val="003A6942"/>
    <w:rsid w:val="003A7346"/>
    <w:rsid w:val="003B053C"/>
    <w:rsid w:val="003B08D8"/>
    <w:rsid w:val="003B0A45"/>
    <w:rsid w:val="003B1DFE"/>
    <w:rsid w:val="003B2DA3"/>
    <w:rsid w:val="003B304E"/>
    <w:rsid w:val="003B31C9"/>
    <w:rsid w:val="003B3969"/>
    <w:rsid w:val="003B3D22"/>
    <w:rsid w:val="003B6383"/>
    <w:rsid w:val="003B734A"/>
    <w:rsid w:val="003B782A"/>
    <w:rsid w:val="003B7EBB"/>
    <w:rsid w:val="003C24A7"/>
    <w:rsid w:val="003C527D"/>
    <w:rsid w:val="003C5E05"/>
    <w:rsid w:val="003C6A4A"/>
    <w:rsid w:val="003C79B3"/>
    <w:rsid w:val="003D05E1"/>
    <w:rsid w:val="003D1979"/>
    <w:rsid w:val="003D27C6"/>
    <w:rsid w:val="003D4A89"/>
    <w:rsid w:val="003D4AA4"/>
    <w:rsid w:val="003D4FB9"/>
    <w:rsid w:val="003D6BB1"/>
    <w:rsid w:val="003E0292"/>
    <w:rsid w:val="003E12C4"/>
    <w:rsid w:val="003E12CD"/>
    <w:rsid w:val="003E3C6A"/>
    <w:rsid w:val="003E4052"/>
    <w:rsid w:val="003E468C"/>
    <w:rsid w:val="003E5211"/>
    <w:rsid w:val="003E7451"/>
    <w:rsid w:val="003F0A00"/>
    <w:rsid w:val="003F1B99"/>
    <w:rsid w:val="003F293C"/>
    <w:rsid w:val="003F384C"/>
    <w:rsid w:val="003F4FBE"/>
    <w:rsid w:val="003F5A86"/>
    <w:rsid w:val="003F75B7"/>
    <w:rsid w:val="004000AB"/>
    <w:rsid w:val="0040057B"/>
    <w:rsid w:val="0040078C"/>
    <w:rsid w:val="004009F3"/>
    <w:rsid w:val="0040360F"/>
    <w:rsid w:val="00406599"/>
    <w:rsid w:val="0040670E"/>
    <w:rsid w:val="004077FF"/>
    <w:rsid w:val="004103EE"/>
    <w:rsid w:val="0041287F"/>
    <w:rsid w:val="0041411C"/>
    <w:rsid w:val="00414CC2"/>
    <w:rsid w:val="00415B89"/>
    <w:rsid w:val="00416040"/>
    <w:rsid w:val="00417631"/>
    <w:rsid w:val="00420BBB"/>
    <w:rsid w:val="00422541"/>
    <w:rsid w:val="00422AEC"/>
    <w:rsid w:val="00424BA4"/>
    <w:rsid w:val="004254BB"/>
    <w:rsid w:val="00426576"/>
    <w:rsid w:val="00426E81"/>
    <w:rsid w:val="004276D3"/>
    <w:rsid w:val="00430E15"/>
    <w:rsid w:val="00431390"/>
    <w:rsid w:val="00432CD5"/>
    <w:rsid w:val="00432FB0"/>
    <w:rsid w:val="00433A62"/>
    <w:rsid w:val="0043496A"/>
    <w:rsid w:val="00435287"/>
    <w:rsid w:val="00435A31"/>
    <w:rsid w:val="004362C0"/>
    <w:rsid w:val="00436625"/>
    <w:rsid w:val="0043683D"/>
    <w:rsid w:val="00437697"/>
    <w:rsid w:val="00437A43"/>
    <w:rsid w:val="004409A6"/>
    <w:rsid w:val="00441EA9"/>
    <w:rsid w:val="00442C99"/>
    <w:rsid w:val="004452F1"/>
    <w:rsid w:val="00447E84"/>
    <w:rsid w:val="00452324"/>
    <w:rsid w:val="00454398"/>
    <w:rsid w:val="004557FB"/>
    <w:rsid w:val="00457A31"/>
    <w:rsid w:val="0046071B"/>
    <w:rsid w:val="004610BE"/>
    <w:rsid w:val="004626A7"/>
    <w:rsid w:val="00463668"/>
    <w:rsid w:val="00463DC8"/>
    <w:rsid w:val="00466BDC"/>
    <w:rsid w:val="00467C5A"/>
    <w:rsid w:val="00472527"/>
    <w:rsid w:val="00474340"/>
    <w:rsid w:val="00475D84"/>
    <w:rsid w:val="00476A0E"/>
    <w:rsid w:val="00484ED8"/>
    <w:rsid w:val="00485328"/>
    <w:rsid w:val="00485971"/>
    <w:rsid w:val="0048677C"/>
    <w:rsid w:val="00487255"/>
    <w:rsid w:val="00487A63"/>
    <w:rsid w:val="00487DD1"/>
    <w:rsid w:val="0049027B"/>
    <w:rsid w:val="00490AC4"/>
    <w:rsid w:val="004915A1"/>
    <w:rsid w:val="00494394"/>
    <w:rsid w:val="00495307"/>
    <w:rsid w:val="004966F4"/>
    <w:rsid w:val="004A0F9D"/>
    <w:rsid w:val="004A1DC9"/>
    <w:rsid w:val="004A410E"/>
    <w:rsid w:val="004A5109"/>
    <w:rsid w:val="004A572A"/>
    <w:rsid w:val="004A5D06"/>
    <w:rsid w:val="004A607C"/>
    <w:rsid w:val="004A635C"/>
    <w:rsid w:val="004A68FC"/>
    <w:rsid w:val="004A7177"/>
    <w:rsid w:val="004B003D"/>
    <w:rsid w:val="004B1488"/>
    <w:rsid w:val="004B2459"/>
    <w:rsid w:val="004B29B9"/>
    <w:rsid w:val="004B2ECC"/>
    <w:rsid w:val="004B588F"/>
    <w:rsid w:val="004B7A28"/>
    <w:rsid w:val="004C052F"/>
    <w:rsid w:val="004C0B0F"/>
    <w:rsid w:val="004C1D91"/>
    <w:rsid w:val="004C25B1"/>
    <w:rsid w:val="004C2F02"/>
    <w:rsid w:val="004C490E"/>
    <w:rsid w:val="004C52B5"/>
    <w:rsid w:val="004C65E5"/>
    <w:rsid w:val="004C675A"/>
    <w:rsid w:val="004C6D78"/>
    <w:rsid w:val="004C70B3"/>
    <w:rsid w:val="004D03F7"/>
    <w:rsid w:val="004D5F09"/>
    <w:rsid w:val="004D69BA"/>
    <w:rsid w:val="004D71C6"/>
    <w:rsid w:val="004E2B20"/>
    <w:rsid w:val="004E2C9F"/>
    <w:rsid w:val="004E3D92"/>
    <w:rsid w:val="004E4E5D"/>
    <w:rsid w:val="004E560E"/>
    <w:rsid w:val="004E561C"/>
    <w:rsid w:val="004E617A"/>
    <w:rsid w:val="004E6CF7"/>
    <w:rsid w:val="004F0408"/>
    <w:rsid w:val="004F071A"/>
    <w:rsid w:val="004F0DE3"/>
    <w:rsid w:val="004F1963"/>
    <w:rsid w:val="004F1CFF"/>
    <w:rsid w:val="004F2750"/>
    <w:rsid w:val="004F2E41"/>
    <w:rsid w:val="004F6088"/>
    <w:rsid w:val="004F6C86"/>
    <w:rsid w:val="004F73BE"/>
    <w:rsid w:val="00500AED"/>
    <w:rsid w:val="00502ED0"/>
    <w:rsid w:val="005035EE"/>
    <w:rsid w:val="00503E3A"/>
    <w:rsid w:val="00506BC2"/>
    <w:rsid w:val="005077BA"/>
    <w:rsid w:val="00510FEB"/>
    <w:rsid w:val="005120D9"/>
    <w:rsid w:val="00512267"/>
    <w:rsid w:val="005129DA"/>
    <w:rsid w:val="00512BBA"/>
    <w:rsid w:val="00515E82"/>
    <w:rsid w:val="00516E49"/>
    <w:rsid w:val="005175FD"/>
    <w:rsid w:val="00517E64"/>
    <w:rsid w:val="00524513"/>
    <w:rsid w:val="005249F0"/>
    <w:rsid w:val="00526309"/>
    <w:rsid w:val="00530FAA"/>
    <w:rsid w:val="005315CA"/>
    <w:rsid w:val="00535FA0"/>
    <w:rsid w:val="005376E2"/>
    <w:rsid w:val="005405C4"/>
    <w:rsid w:val="00540714"/>
    <w:rsid w:val="005425D6"/>
    <w:rsid w:val="00543F2C"/>
    <w:rsid w:val="0054631B"/>
    <w:rsid w:val="00546BA6"/>
    <w:rsid w:val="005506DD"/>
    <w:rsid w:val="0055106F"/>
    <w:rsid w:val="005516B2"/>
    <w:rsid w:val="0055234C"/>
    <w:rsid w:val="00554275"/>
    <w:rsid w:val="0055444F"/>
    <w:rsid w:val="005545CE"/>
    <w:rsid w:val="00555B41"/>
    <w:rsid w:val="00556317"/>
    <w:rsid w:val="00556D62"/>
    <w:rsid w:val="0055783C"/>
    <w:rsid w:val="0056074F"/>
    <w:rsid w:val="0056103A"/>
    <w:rsid w:val="005612B3"/>
    <w:rsid w:val="00561E4B"/>
    <w:rsid w:val="0056207B"/>
    <w:rsid w:val="00562429"/>
    <w:rsid w:val="00562B3C"/>
    <w:rsid w:val="00564EDE"/>
    <w:rsid w:val="00565348"/>
    <w:rsid w:val="00565979"/>
    <w:rsid w:val="00566256"/>
    <w:rsid w:val="00570822"/>
    <w:rsid w:val="00570F35"/>
    <w:rsid w:val="005745A8"/>
    <w:rsid w:val="0057463B"/>
    <w:rsid w:val="00574B48"/>
    <w:rsid w:val="00574F22"/>
    <w:rsid w:val="00576365"/>
    <w:rsid w:val="005767B6"/>
    <w:rsid w:val="005777B6"/>
    <w:rsid w:val="00580F98"/>
    <w:rsid w:val="00582801"/>
    <w:rsid w:val="00583622"/>
    <w:rsid w:val="00584A37"/>
    <w:rsid w:val="00586117"/>
    <w:rsid w:val="00587096"/>
    <w:rsid w:val="00587B62"/>
    <w:rsid w:val="00587D09"/>
    <w:rsid w:val="0059005E"/>
    <w:rsid w:val="00594C88"/>
    <w:rsid w:val="00595700"/>
    <w:rsid w:val="00597225"/>
    <w:rsid w:val="00597673"/>
    <w:rsid w:val="005A135D"/>
    <w:rsid w:val="005A164F"/>
    <w:rsid w:val="005A1EAB"/>
    <w:rsid w:val="005A2CB3"/>
    <w:rsid w:val="005A2ED7"/>
    <w:rsid w:val="005A3F0A"/>
    <w:rsid w:val="005A4854"/>
    <w:rsid w:val="005A5CB3"/>
    <w:rsid w:val="005A5D72"/>
    <w:rsid w:val="005A7271"/>
    <w:rsid w:val="005A774F"/>
    <w:rsid w:val="005B29DE"/>
    <w:rsid w:val="005B4079"/>
    <w:rsid w:val="005B46FD"/>
    <w:rsid w:val="005B4E63"/>
    <w:rsid w:val="005B55E5"/>
    <w:rsid w:val="005B766B"/>
    <w:rsid w:val="005B7F37"/>
    <w:rsid w:val="005B7F7A"/>
    <w:rsid w:val="005C01AC"/>
    <w:rsid w:val="005C1886"/>
    <w:rsid w:val="005C1F22"/>
    <w:rsid w:val="005C37DF"/>
    <w:rsid w:val="005D0492"/>
    <w:rsid w:val="005D10B1"/>
    <w:rsid w:val="005D48E2"/>
    <w:rsid w:val="005D5550"/>
    <w:rsid w:val="005D61FD"/>
    <w:rsid w:val="005D6361"/>
    <w:rsid w:val="005D6A99"/>
    <w:rsid w:val="005D756D"/>
    <w:rsid w:val="005E081F"/>
    <w:rsid w:val="005E093F"/>
    <w:rsid w:val="005E1157"/>
    <w:rsid w:val="005E2B39"/>
    <w:rsid w:val="005E31CF"/>
    <w:rsid w:val="005E4C04"/>
    <w:rsid w:val="005E6C74"/>
    <w:rsid w:val="005E72D6"/>
    <w:rsid w:val="005F0B57"/>
    <w:rsid w:val="005F122D"/>
    <w:rsid w:val="005F2F70"/>
    <w:rsid w:val="005F4A0A"/>
    <w:rsid w:val="005F58C5"/>
    <w:rsid w:val="005F68A5"/>
    <w:rsid w:val="005F7C73"/>
    <w:rsid w:val="006008E8"/>
    <w:rsid w:val="0060179D"/>
    <w:rsid w:val="00602212"/>
    <w:rsid w:val="006055AF"/>
    <w:rsid w:val="00605EA6"/>
    <w:rsid w:val="00620A78"/>
    <w:rsid w:val="0062264B"/>
    <w:rsid w:val="0062297A"/>
    <w:rsid w:val="006234A7"/>
    <w:rsid w:val="00626663"/>
    <w:rsid w:val="00627942"/>
    <w:rsid w:val="006306DF"/>
    <w:rsid w:val="006307BF"/>
    <w:rsid w:val="006318AF"/>
    <w:rsid w:val="00633198"/>
    <w:rsid w:val="00633FCA"/>
    <w:rsid w:val="00634F03"/>
    <w:rsid w:val="00636293"/>
    <w:rsid w:val="006366CE"/>
    <w:rsid w:val="00637125"/>
    <w:rsid w:val="00640269"/>
    <w:rsid w:val="00640B13"/>
    <w:rsid w:val="00640B5D"/>
    <w:rsid w:val="006416C1"/>
    <w:rsid w:val="00642444"/>
    <w:rsid w:val="006442AF"/>
    <w:rsid w:val="0064462D"/>
    <w:rsid w:val="00645E90"/>
    <w:rsid w:val="006479F5"/>
    <w:rsid w:val="00650241"/>
    <w:rsid w:val="00650A6E"/>
    <w:rsid w:val="00650E99"/>
    <w:rsid w:val="0065538F"/>
    <w:rsid w:val="0065657A"/>
    <w:rsid w:val="00656D4D"/>
    <w:rsid w:val="00657F55"/>
    <w:rsid w:val="00660B84"/>
    <w:rsid w:val="00660C9D"/>
    <w:rsid w:val="0066188D"/>
    <w:rsid w:val="00662081"/>
    <w:rsid w:val="00662FDD"/>
    <w:rsid w:val="00663591"/>
    <w:rsid w:val="00665491"/>
    <w:rsid w:val="0066619C"/>
    <w:rsid w:val="00670645"/>
    <w:rsid w:val="006715FA"/>
    <w:rsid w:val="006749E2"/>
    <w:rsid w:val="00674D54"/>
    <w:rsid w:val="00674EBF"/>
    <w:rsid w:val="006756FD"/>
    <w:rsid w:val="00675DDE"/>
    <w:rsid w:val="00681819"/>
    <w:rsid w:val="00684250"/>
    <w:rsid w:val="0068714B"/>
    <w:rsid w:val="00691D33"/>
    <w:rsid w:val="006926B3"/>
    <w:rsid w:val="00692F6B"/>
    <w:rsid w:val="00692FDD"/>
    <w:rsid w:val="006970D5"/>
    <w:rsid w:val="006A13B5"/>
    <w:rsid w:val="006A184C"/>
    <w:rsid w:val="006A26CD"/>
    <w:rsid w:val="006A2E62"/>
    <w:rsid w:val="006A39FC"/>
    <w:rsid w:val="006A4EEB"/>
    <w:rsid w:val="006A543D"/>
    <w:rsid w:val="006A57E9"/>
    <w:rsid w:val="006A5BB8"/>
    <w:rsid w:val="006A6887"/>
    <w:rsid w:val="006A7882"/>
    <w:rsid w:val="006B2024"/>
    <w:rsid w:val="006B272C"/>
    <w:rsid w:val="006B2E15"/>
    <w:rsid w:val="006B3C2D"/>
    <w:rsid w:val="006B6A19"/>
    <w:rsid w:val="006B7362"/>
    <w:rsid w:val="006B7974"/>
    <w:rsid w:val="006B79B7"/>
    <w:rsid w:val="006C18BD"/>
    <w:rsid w:val="006C39BE"/>
    <w:rsid w:val="006C414F"/>
    <w:rsid w:val="006C52E0"/>
    <w:rsid w:val="006D0CA1"/>
    <w:rsid w:val="006D29E7"/>
    <w:rsid w:val="006D2E7F"/>
    <w:rsid w:val="006D33E8"/>
    <w:rsid w:val="006D371B"/>
    <w:rsid w:val="006D6616"/>
    <w:rsid w:val="006D6D4D"/>
    <w:rsid w:val="006E0976"/>
    <w:rsid w:val="006E1BB5"/>
    <w:rsid w:val="006E2BBC"/>
    <w:rsid w:val="006E6A1E"/>
    <w:rsid w:val="006F0EFD"/>
    <w:rsid w:val="006F1118"/>
    <w:rsid w:val="006F1276"/>
    <w:rsid w:val="006F2197"/>
    <w:rsid w:val="006F2452"/>
    <w:rsid w:val="006F27B2"/>
    <w:rsid w:val="006F30FD"/>
    <w:rsid w:val="006F34E2"/>
    <w:rsid w:val="006F3B10"/>
    <w:rsid w:val="006F3D3F"/>
    <w:rsid w:val="006F3FD2"/>
    <w:rsid w:val="006F435F"/>
    <w:rsid w:val="006F5362"/>
    <w:rsid w:val="006F5FC3"/>
    <w:rsid w:val="006F62AE"/>
    <w:rsid w:val="006F704B"/>
    <w:rsid w:val="007007AE"/>
    <w:rsid w:val="007015DC"/>
    <w:rsid w:val="0070183B"/>
    <w:rsid w:val="007033BB"/>
    <w:rsid w:val="007057D8"/>
    <w:rsid w:val="00705A82"/>
    <w:rsid w:val="00706C17"/>
    <w:rsid w:val="007071C0"/>
    <w:rsid w:val="007101A0"/>
    <w:rsid w:val="00710A51"/>
    <w:rsid w:val="00710D49"/>
    <w:rsid w:val="00710E38"/>
    <w:rsid w:val="00710E88"/>
    <w:rsid w:val="00711AC7"/>
    <w:rsid w:val="00711F27"/>
    <w:rsid w:val="00712B2A"/>
    <w:rsid w:val="00712F46"/>
    <w:rsid w:val="00713A06"/>
    <w:rsid w:val="00715D96"/>
    <w:rsid w:val="00716153"/>
    <w:rsid w:val="00717370"/>
    <w:rsid w:val="007234A6"/>
    <w:rsid w:val="00723D97"/>
    <w:rsid w:val="007251B6"/>
    <w:rsid w:val="0072520A"/>
    <w:rsid w:val="00726899"/>
    <w:rsid w:val="0073121E"/>
    <w:rsid w:val="007332E1"/>
    <w:rsid w:val="00735B65"/>
    <w:rsid w:val="00736647"/>
    <w:rsid w:val="00740440"/>
    <w:rsid w:val="007416A4"/>
    <w:rsid w:val="00741B5B"/>
    <w:rsid w:val="00741EF2"/>
    <w:rsid w:val="00743AB1"/>
    <w:rsid w:val="00745BA2"/>
    <w:rsid w:val="00746A93"/>
    <w:rsid w:val="00747353"/>
    <w:rsid w:val="00747620"/>
    <w:rsid w:val="00750AB2"/>
    <w:rsid w:val="00750FF8"/>
    <w:rsid w:val="00751D10"/>
    <w:rsid w:val="007548AF"/>
    <w:rsid w:val="00756AEE"/>
    <w:rsid w:val="007616C0"/>
    <w:rsid w:val="00771027"/>
    <w:rsid w:val="00771D79"/>
    <w:rsid w:val="0077211D"/>
    <w:rsid w:val="00772934"/>
    <w:rsid w:val="00773576"/>
    <w:rsid w:val="00773F0B"/>
    <w:rsid w:val="00775BD7"/>
    <w:rsid w:val="007810BE"/>
    <w:rsid w:val="007844A2"/>
    <w:rsid w:val="007855AB"/>
    <w:rsid w:val="007855FA"/>
    <w:rsid w:val="007866E9"/>
    <w:rsid w:val="007919D2"/>
    <w:rsid w:val="00793325"/>
    <w:rsid w:val="00794A3F"/>
    <w:rsid w:val="00795C3B"/>
    <w:rsid w:val="00796CF8"/>
    <w:rsid w:val="00797353"/>
    <w:rsid w:val="007A11A3"/>
    <w:rsid w:val="007A2FFD"/>
    <w:rsid w:val="007A4128"/>
    <w:rsid w:val="007B035D"/>
    <w:rsid w:val="007B17E0"/>
    <w:rsid w:val="007B1E09"/>
    <w:rsid w:val="007B1F25"/>
    <w:rsid w:val="007B1FA3"/>
    <w:rsid w:val="007B1FC0"/>
    <w:rsid w:val="007B28F0"/>
    <w:rsid w:val="007B40FE"/>
    <w:rsid w:val="007B5AE3"/>
    <w:rsid w:val="007B6DB7"/>
    <w:rsid w:val="007B7437"/>
    <w:rsid w:val="007C0C97"/>
    <w:rsid w:val="007C0E77"/>
    <w:rsid w:val="007C1F81"/>
    <w:rsid w:val="007C365B"/>
    <w:rsid w:val="007C380C"/>
    <w:rsid w:val="007C3E54"/>
    <w:rsid w:val="007C572C"/>
    <w:rsid w:val="007C59FD"/>
    <w:rsid w:val="007C63DD"/>
    <w:rsid w:val="007D48E0"/>
    <w:rsid w:val="007D5213"/>
    <w:rsid w:val="007D64C1"/>
    <w:rsid w:val="007D64DE"/>
    <w:rsid w:val="007D6F67"/>
    <w:rsid w:val="007E012D"/>
    <w:rsid w:val="007E04B7"/>
    <w:rsid w:val="007E0EE9"/>
    <w:rsid w:val="007E1286"/>
    <w:rsid w:val="007E4B84"/>
    <w:rsid w:val="007E5480"/>
    <w:rsid w:val="007E6C33"/>
    <w:rsid w:val="007E6EBB"/>
    <w:rsid w:val="007E73AF"/>
    <w:rsid w:val="007F0C47"/>
    <w:rsid w:val="007F2271"/>
    <w:rsid w:val="007F260A"/>
    <w:rsid w:val="007F4A5F"/>
    <w:rsid w:val="007F4F2B"/>
    <w:rsid w:val="007F596E"/>
    <w:rsid w:val="007F5E1D"/>
    <w:rsid w:val="007F6660"/>
    <w:rsid w:val="007F7357"/>
    <w:rsid w:val="00800C3B"/>
    <w:rsid w:val="00802A96"/>
    <w:rsid w:val="00803625"/>
    <w:rsid w:val="00806D55"/>
    <w:rsid w:val="00806EA5"/>
    <w:rsid w:val="00811F49"/>
    <w:rsid w:val="00814C79"/>
    <w:rsid w:val="008158DB"/>
    <w:rsid w:val="00815D7D"/>
    <w:rsid w:val="008162B0"/>
    <w:rsid w:val="00816976"/>
    <w:rsid w:val="00817D55"/>
    <w:rsid w:val="00820A54"/>
    <w:rsid w:val="00822410"/>
    <w:rsid w:val="00823B8E"/>
    <w:rsid w:val="00823BF5"/>
    <w:rsid w:val="008241D6"/>
    <w:rsid w:val="00824B02"/>
    <w:rsid w:val="008259BF"/>
    <w:rsid w:val="00825AFB"/>
    <w:rsid w:val="00832C01"/>
    <w:rsid w:val="008344AB"/>
    <w:rsid w:val="00835458"/>
    <w:rsid w:val="0083547A"/>
    <w:rsid w:val="0083595C"/>
    <w:rsid w:val="008361E5"/>
    <w:rsid w:val="008435BE"/>
    <w:rsid w:val="008441F7"/>
    <w:rsid w:val="008455C9"/>
    <w:rsid w:val="0084588C"/>
    <w:rsid w:val="0084632D"/>
    <w:rsid w:val="00846852"/>
    <w:rsid w:val="008508EB"/>
    <w:rsid w:val="00851978"/>
    <w:rsid w:val="00855A25"/>
    <w:rsid w:val="00856662"/>
    <w:rsid w:val="00856C63"/>
    <w:rsid w:val="00861470"/>
    <w:rsid w:val="008636DC"/>
    <w:rsid w:val="008638FE"/>
    <w:rsid w:val="008646E3"/>
    <w:rsid w:val="00865670"/>
    <w:rsid w:val="008719AF"/>
    <w:rsid w:val="00871D24"/>
    <w:rsid w:val="0087377D"/>
    <w:rsid w:val="00874385"/>
    <w:rsid w:val="00874D64"/>
    <w:rsid w:val="0087738E"/>
    <w:rsid w:val="00880665"/>
    <w:rsid w:val="008806DA"/>
    <w:rsid w:val="00880DAE"/>
    <w:rsid w:val="00881897"/>
    <w:rsid w:val="008833E4"/>
    <w:rsid w:val="00883620"/>
    <w:rsid w:val="00884761"/>
    <w:rsid w:val="008858C2"/>
    <w:rsid w:val="00887386"/>
    <w:rsid w:val="00887603"/>
    <w:rsid w:val="00887F58"/>
    <w:rsid w:val="008942BC"/>
    <w:rsid w:val="00896751"/>
    <w:rsid w:val="008A1544"/>
    <w:rsid w:val="008A452F"/>
    <w:rsid w:val="008B1AE7"/>
    <w:rsid w:val="008B3A91"/>
    <w:rsid w:val="008B498F"/>
    <w:rsid w:val="008B576F"/>
    <w:rsid w:val="008B58E8"/>
    <w:rsid w:val="008B7E25"/>
    <w:rsid w:val="008C0C56"/>
    <w:rsid w:val="008C1B23"/>
    <w:rsid w:val="008C3696"/>
    <w:rsid w:val="008C53D2"/>
    <w:rsid w:val="008C5B42"/>
    <w:rsid w:val="008D240D"/>
    <w:rsid w:val="008D3B5B"/>
    <w:rsid w:val="008D4B40"/>
    <w:rsid w:val="008D66A9"/>
    <w:rsid w:val="008E05E9"/>
    <w:rsid w:val="008E1799"/>
    <w:rsid w:val="008E22D5"/>
    <w:rsid w:val="008E2654"/>
    <w:rsid w:val="008E278C"/>
    <w:rsid w:val="008E2E57"/>
    <w:rsid w:val="008E52AE"/>
    <w:rsid w:val="008E5FE4"/>
    <w:rsid w:val="008E63B1"/>
    <w:rsid w:val="008E6418"/>
    <w:rsid w:val="008E65FB"/>
    <w:rsid w:val="008E6951"/>
    <w:rsid w:val="008F04D7"/>
    <w:rsid w:val="008F14B7"/>
    <w:rsid w:val="008F183C"/>
    <w:rsid w:val="008F2F64"/>
    <w:rsid w:val="008F4405"/>
    <w:rsid w:val="008F4B95"/>
    <w:rsid w:val="008F5CE9"/>
    <w:rsid w:val="008F6442"/>
    <w:rsid w:val="008F6E5C"/>
    <w:rsid w:val="008F7814"/>
    <w:rsid w:val="009054A2"/>
    <w:rsid w:val="0090777C"/>
    <w:rsid w:val="009108B5"/>
    <w:rsid w:val="009109C7"/>
    <w:rsid w:val="009113A0"/>
    <w:rsid w:val="00911F17"/>
    <w:rsid w:val="009129B9"/>
    <w:rsid w:val="00913495"/>
    <w:rsid w:val="009138E8"/>
    <w:rsid w:val="00914355"/>
    <w:rsid w:val="009149ED"/>
    <w:rsid w:val="00914E62"/>
    <w:rsid w:val="009157F5"/>
    <w:rsid w:val="00915C77"/>
    <w:rsid w:val="009211AA"/>
    <w:rsid w:val="00921486"/>
    <w:rsid w:val="00921C65"/>
    <w:rsid w:val="00925305"/>
    <w:rsid w:val="00925515"/>
    <w:rsid w:val="009269F5"/>
    <w:rsid w:val="00930B61"/>
    <w:rsid w:val="0093276F"/>
    <w:rsid w:val="00933083"/>
    <w:rsid w:val="00934786"/>
    <w:rsid w:val="00934A5D"/>
    <w:rsid w:val="00934B21"/>
    <w:rsid w:val="0093514E"/>
    <w:rsid w:val="00935CFA"/>
    <w:rsid w:val="0093726A"/>
    <w:rsid w:val="009421C6"/>
    <w:rsid w:val="00945DE6"/>
    <w:rsid w:val="009466DC"/>
    <w:rsid w:val="009501E3"/>
    <w:rsid w:val="00950567"/>
    <w:rsid w:val="0095166F"/>
    <w:rsid w:val="00951CF0"/>
    <w:rsid w:val="00952C12"/>
    <w:rsid w:val="00955A5B"/>
    <w:rsid w:val="009569E7"/>
    <w:rsid w:val="00960C90"/>
    <w:rsid w:val="00961CE5"/>
    <w:rsid w:val="009621E9"/>
    <w:rsid w:val="00962D81"/>
    <w:rsid w:val="009654CE"/>
    <w:rsid w:val="00967593"/>
    <w:rsid w:val="0097178C"/>
    <w:rsid w:val="00971B00"/>
    <w:rsid w:val="0097317C"/>
    <w:rsid w:val="009742FC"/>
    <w:rsid w:val="00974DA9"/>
    <w:rsid w:val="00975269"/>
    <w:rsid w:val="00975E1F"/>
    <w:rsid w:val="00977546"/>
    <w:rsid w:val="009816A3"/>
    <w:rsid w:val="00981F18"/>
    <w:rsid w:val="0098219E"/>
    <w:rsid w:val="009826A0"/>
    <w:rsid w:val="009832FB"/>
    <w:rsid w:val="00983DDD"/>
    <w:rsid w:val="00985594"/>
    <w:rsid w:val="00985E8B"/>
    <w:rsid w:val="009861ED"/>
    <w:rsid w:val="00986714"/>
    <w:rsid w:val="009871B2"/>
    <w:rsid w:val="009908CE"/>
    <w:rsid w:val="00990E78"/>
    <w:rsid w:val="00991159"/>
    <w:rsid w:val="00991D61"/>
    <w:rsid w:val="00993017"/>
    <w:rsid w:val="009968F3"/>
    <w:rsid w:val="009A1B4E"/>
    <w:rsid w:val="009A24BE"/>
    <w:rsid w:val="009A336A"/>
    <w:rsid w:val="009A3543"/>
    <w:rsid w:val="009A3AC9"/>
    <w:rsid w:val="009A4CF0"/>
    <w:rsid w:val="009A69C5"/>
    <w:rsid w:val="009A75C0"/>
    <w:rsid w:val="009B311C"/>
    <w:rsid w:val="009B35E7"/>
    <w:rsid w:val="009B532C"/>
    <w:rsid w:val="009C0526"/>
    <w:rsid w:val="009C05EA"/>
    <w:rsid w:val="009C177F"/>
    <w:rsid w:val="009C259C"/>
    <w:rsid w:val="009C432C"/>
    <w:rsid w:val="009C5F5F"/>
    <w:rsid w:val="009C6131"/>
    <w:rsid w:val="009C697A"/>
    <w:rsid w:val="009D01C4"/>
    <w:rsid w:val="009D18CD"/>
    <w:rsid w:val="009D24E0"/>
    <w:rsid w:val="009D2923"/>
    <w:rsid w:val="009D297C"/>
    <w:rsid w:val="009D59B2"/>
    <w:rsid w:val="009D5FC5"/>
    <w:rsid w:val="009E03D7"/>
    <w:rsid w:val="009E0CE6"/>
    <w:rsid w:val="009E1971"/>
    <w:rsid w:val="009E19CC"/>
    <w:rsid w:val="009E2D1D"/>
    <w:rsid w:val="009E3152"/>
    <w:rsid w:val="009E3FD4"/>
    <w:rsid w:val="009E4355"/>
    <w:rsid w:val="009E6AD7"/>
    <w:rsid w:val="009E738D"/>
    <w:rsid w:val="009E7E12"/>
    <w:rsid w:val="009F094C"/>
    <w:rsid w:val="009F0E0C"/>
    <w:rsid w:val="009F163E"/>
    <w:rsid w:val="009F2330"/>
    <w:rsid w:val="009F45F6"/>
    <w:rsid w:val="009F4D56"/>
    <w:rsid w:val="009F522E"/>
    <w:rsid w:val="009F7ACD"/>
    <w:rsid w:val="00A0084E"/>
    <w:rsid w:val="00A016D2"/>
    <w:rsid w:val="00A02223"/>
    <w:rsid w:val="00A03984"/>
    <w:rsid w:val="00A048E8"/>
    <w:rsid w:val="00A05309"/>
    <w:rsid w:val="00A06506"/>
    <w:rsid w:val="00A110F0"/>
    <w:rsid w:val="00A11DC9"/>
    <w:rsid w:val="00A12E55"/>
    <w:rsid w:val="00A14DB2"/>
    <w:rsid w:val="00A15AE1"/>
    <w:rsid w:val="00A15D35"/>
    <w:rsid w:val="00A16CB8"/>
    <w:rsid w:val="00A17834"/>
    <w:rsid w:val="00A21982"/>
    <w:rsid w:val="00A23C03"/>
    <w:rsid w:val="00A24A37"/>
    <w:rsid w:val="00A25801"/>
    <w:rsid w:val="00A30C08"/>
    <w:rsid w:val="00A31854"/>
    <w:rsid w:val="00A3331D"/>
    <w:rsid w:val="00A338A0"/>
    <w:rsid w:val="00A33AC8"/>
    <w:rsid w:val="00A33BB6"/>
    <w:rsid w:val="00A33F07"/>
    <w:rsid w:val="00A3467A"/>
    <w:rsid w:val="00A349A4"/>
    <w:rsid w:val="00A36C05"/>
    <w:rsid w:val="00A37178"/>
    <w:rsid w:val="00A37C4B"/>
    <w:rsid w:val="00A40DD2"/>
    <w:rsid w:val="00A432F1"/>
    <w:rsid w:val="00A439DA"/>
    <w:rsid w:val="00A46CC3"/>
    <w:rsid w:val="00A46F3C"/>
    <w:rsid w:val="00A47758"/>
    <w:rsid w:val="00A47C0D"/>
    <w:rsid w:val="00A50240"/>
    <w:rsid w:val="00A5061B"/>
    <w:rsid w:val="00A536A9"/>
    <w:rsid w:val="00A53F03"/>
    <w:rsid w:val="00A55095"/>
    <w:rsid w:val="00A5762A"/>
    <w:rsid w:val="00A57BF2"/>
    <w:rsid w:val="00A60DF2"/>
    <w:rsid w:val="00A61410"/>
    <w:rsid w:val="00A624FD"/>
    <w:rsid w:val="00A64030"/>
    <w:rsid w:val="00A65767"/>
    <w:rsid w:val="00A65A7F"/>
    <w:rsid w:val="00A65BEF"/>
    <w:rsid w:val="00A65D54"/>
    <w:rsid w:val="00A66328"/>
    <w:rsid w:val="00A7074E"/>
    <w:rsid w:val="00A714E8"/>
    <w:rsid w:val="00A71AE1"/>
    <w:rsid w:val="00A734FE"/>
    <w:rsid w:val="00A73F7A"/>
    <w:rsid w:val="00A75824"/>
    <w:rsid w:val="00A80208"/>
    <w:rsid w:val="00A81FD5"/>
    <w:rsid w:val="00A824B6"/>
    <w:rsid w:val="00A8392A"/>
    <w:rsid w:val="00A86659"/>
    <w:rsid w:val="00A91913"/>
    <w:rsid w:val="00A91F12"/>
    <w:rsid w:val="00A959AC"/>
    <w:rsid w:val="00A959FC"/>
    <w:rsid w:val="00A97D87"/>
    <w:rsid w:val="00AA0104"/>
    <w:rsid w:val="00AA0CA7"/>
    <w:rsid w:val="00AA0D6C"/>
    <w:rsid w:val="00AA13E7"/>
    <w:rsid w:val="00AA22C3"/>
    <w:rsid w:val="00AA2C3C"/>
    <w:rsid w:val="00AA3B10"/>
    <w:rsid w:val="00AA3BBB"/>
    <w:rsid w:val="00AA7039"/>
    <w:rsid w:val="00AA71CC"/>
    <w:rsid w:val="00AB0171"/>
    <w:rsid w:val="00AB0AD8"/>
    <w:rsid w:val="00AB2FC5"/>
    <w:rsid w:val="00AB3F35"/>
    <w:rsid w:val="00AB48E1"/>
    <w:rsid w:val="00AB59A5"/>
    <w:rsid w:val="00AB74AC"/>
    <w:rsid w:val="00AB7A9B"/>
    <w:rsid w:val="00AB7C31"/>
    <w:rsid w:val="00AC5B72"/>
    <w:rsid w:val="00AD08B7"/>
    <w:rsid w:val="00AD69C5"/>
    <w:rsid w:val="00AE000C"/>
    <w:rsid w:val="00AE2435"/>
    <w:rsid w:val="00AE279E"/>
    <w:rsid w:val="00AE3182"/>
    <w:rsid w:val="00AE36D8"/>
    <w:rsid w:val="00AE3E70"/>
    <w:rsid w:val="00AE48B2"/>
    <w:rsid w:val="00AE6916"/>
    <w:rsid w:val="00AE69DA"/>
    <w:rsid w:val="00AF031A"/>
    <w:rsid w:val="00AF1DBC"/>
    <w:rsid w:val="00AF29E3"/>
    <w:rsid w:val="00AF4790"/>
    <w:rsid w:val="00AF5744"/>
    <w:rsid w:val="00AF5C8B"/>
    <w:rsid w:val="00AF726C"/>
    <w:rsid w:val="00AF7610"/>
    <w:rsid w:val="00B00173"/>
    <w:rsid w:val="00B002CE"/>
    <w:rsid w:val="00B01283"/>
    <w:rsid w:val="00B017D5"/>
    <w:rsid w:val="00B019F2"/>
    <w:rsid w:val="00B02903"/>
    <w:rsid w:val="00B02CC0"/>
    <w:rsid w:val="00B0451B"/>
    <w:rsid w:val="00B04981"/>
    <w:rsid w:val="00B06E4A"/>
    <w:rsid w:val="00B11DE0"/>
    <w:rsid w:val="00B1218F"/>
    <w:rsid w:val="00B15ABD"/>
    <w:rsid w:val="00B16FCB"/>
    <w:rsid w:val="00B20937"/>
    <w:rsid w:val="00B22B0A"/>
    <w:rsid w:val="00B24C0E"/>
    <w:rsid w:val="00B27267"/>
    <w:rsid w:val="00B2792B"/>
    <w:rsid w:val="00B30441"/>
    <w:rsid w:val="00B31399"/>
    <w:rsid w:val="00B3339A"/>
    <w:rsid w:val="00B3349C"/>
    <w:rsid w:val="00B337F9"/>
    <w:rsid w:val="00B3406C"/>
    <w:rsid w:val="00B34D58"/>
    <w:rsid w:val="00B35A9E"/>
    <w:rsid w:val="00B35E38"/>
    <w:rsid w:val="00B36368"/>
    <w:rsid w:val="00B40D1C"/>
    <w:rsid w:val="00B40FC5"/>
    <w:rsid w:val="00B41968"/>
    <w:rsid w:val="00B42731"/>
    <w:rsid w:val="00B42ADF"/>
    <w:rsid w:val="00B4467C"/>
    <w:rsid w:val="00B4574D"/>
    <w:rsid w:val="00B46BE6"/>
    <w:rsid w:val="00B5056D"/>
    <w:rsid w:val="00B509EA"/>
    <w:rsid w:val="00B518E2"/>
    <w:rsid w:val="00B53B2B"/>
    <w:rsid w:val="00B55E5D"/>
    <w:rsid w:val="00B56E21"/>
    <w:rsid w:val="00B6029F"/>
    <w:rsid w:val="00B62E95"/>
    <w:rsid w:val="00B637C8"/>
    <w:rsid w:val="00B63EC6"/>
    <w:rsid w:val="00B64AD6"/>
    <w:rsid w:val="00B66B67"/>
    <w:rsid w:val="00B70006"/>
    <w:rsid w:val="00B71521"/>
    <w:rsid w:val="00B71AE5"/>
    <w:rsid w:val="00B73B5D"/>
    <w:rsid w:val="00B7445B"/>
    <w:rsid w:val="00B768CF"/>
    <w:rsid w:val="00B76BD6"/>
    <w:rsid w:val="00B774A0"/>
    <w:rsid w:val="00B81151"/>
    <w:rsid w:val="00B82123"/>
    <w:rsid w:val="00B849FE"/>
    <w:rsid w:val="00B8590F"/>
    <w:rsid w:val="00B85934"/>
    <w:rsid w:val="00B90059"/>
    <w:rsid w:val="00B90B05"/>
    <w:rsid w:val="00B91925"/>
    <w:rsid w:val="00B91BCC"/>
    <w:rsid w:val="00B93312"/>
    <w:rsid w:val="00B93769"/>
    <w:rsid w:val="00B946D0"/>
    <w:rsid w:val="00B9471B"/>
    <w:rsid w:val="00B95197"/>
    <w:rsid w:val="00B95D1E"/>
    <w:rsid w:val="00B97516"/>
    <w:rsid w:val="00B97929"/>
    <w:rsid w:val="00B979FB"/>
    <w:rsid w:val="00B97E16"/>
    <w:rsid w:val="00BA108A"/>
    <w:rsid w:val="00BA2329"/>
    <w:rsid w:val="00BA6E77"/>
    <w:rsid w:val="00BB004A"/>
    <w:rsid w:val="00BB0184"/>
    <w:rsid w:val="00BB024F"/>
    <w:rsid w:val="00BB0D7F"/>
    <w:rsid w:val="00BB1372"/>
    <w:rsid w:val="00BB2B5A"/>
    <w:rsid w:val="00BB2D57"/>
    <w:rsid w:val="00BB4B8F"/>
    <w:rsid w:val="00BB7D6C"/>
    <w:rsid w:val="00BC09F4"/>
    <w:rsid w:val="00BC10FE"/>
    <w:rsid w:val="00BC4FEF"/>
    <w:rsid w:val="00BC6238"/>
    <w:rsid w:val="00BD0530"/>
    <w:rsid w:val="00BD1E9D"/>
    <w:rsid w:val="00BD2680"/>
    <w:rsid w:val="00BD46FC"/>
    <w:rsid w:val="00BD6E27"/>
    <w:rsid w:val="00BD73C5"/>
    <w:rsid w:val="00BD7E5B"/>
    <w:rsid w:val="00BE00BE"/>
    <w:rsid w:val="00BE036B"/>
    <w:rsid w:val="00BE27FC"/>
    <w:rsid w:val="00BE5A13"/>
    <w:rsid w:val="00BE6364"/>
    <w:rsid w:val="00BF3891"/>
    <w:rsid w:val="00BF3CB8"/>
    <w:rsid w:val="00BF4862"/>
    <w:rsid w:val="00BF4AE8"/>
    <w:rsid w:val="00BF587D"/>
    <w:rsid w:val="00BF6BCD"/>
    <w:rsid w:val="00BF7E24"/>
    <w:rsid w:val="00C01486"/>
    <w:rsid w:val="00C01D6A"/>
    <w:rsid w:val="00C01DC6"/>
    <w:rsid w:val="00C02D34"/>
    <w:rsid w:val="00C04868"/>
    <w:rsid w:val="00C06E7F"/>
    <w:rsid w:val="00C0784F"/>
    <w:rsid w:val="00C10504"/>
    <w:rsid w:val="00C11F09"/>
    <w:rsid w:val="00C12416"/>
    <w:rsid w:val="00C13884"/>
    <w:rsid w:val="00C16BF7"/>
    <w:rsid w:val="00C16C1B"/>
    <w:rsid w:val="00C20739"/>
    <w:rsid w:val="00C207A4"/>
    <w:rsid w:val="00C21DC1"/>
    <w:rsid w:val="00C25D40"/>
    <w:rsid w:val="00C26530"/>
    <w:rsid w:val="00C26ED6"/>
    <w:rsid w:val="00C27887"/>
    <w:rsid w:val="00C27C5D"/>
    <w:rsid w:val="00C27F7B"/>
    <w:rsid w:val="00C27FF7"/>
    <w:rsid w:val="00C3004C"/>
    <w:rsid w:val="00C3136F"/>
    <w:rsid w:val="00C32DFC"/>
    <w:rsid w:val="00C32DFD"/>
    <w:rsid w:val="00C333A1"/>
    <w:rsid w:val="00C33B2B"/>
    <w:rsid w:val="00C34791"/>
    <w:rsid w:val="00C3541A"/>
    <w:rsid w:val="00C35E0B"/>
    <w:rsid w:val="00C4052B"/>
    <w:rsid w:val="00C41F89"/>
    <w:rsid w:val="00C42354"/>
    <w:rsid w:val="00C42BF0"/>
    <w:rsid w:val="00C42F82"/>
    <w:rsid w:val="00C43970"/>
    <w:rsid w:val="00C44F7E"/>
    <w:rsid w:val="00C457AE"/>
    <w:rsid w:val="00C457C8"/>
    <w:rsid w:val="00C45D06"/>
    <w:rsid w:val="00C50025"/>
    <w:rsid w:val="00C5040E"/>
    <w:rsid w:val="00C50524"/>
    <w:rsid w:val="00C518DE"/>
    <w:rsid w:val="00C51F40"/>
    <w:rsid w:val="00C52291"/>
    <w:rsid w:val="00C52FA7"/>
    <w:rsid w:val="00C53891"/>
    <w:rsid w:val="00C55EBE"/>
    <w:rsid w:val="00C5624F"/>
    <w:rsid w:val="00C60CDC"/>
    <w:rsid w:val="00C60EEF"/>
    <w:rsid w:val="00C60EF1"/>
    <w:rsid w:val="00C62557"/>
    <w:rsid w:val="00C62A1D"/>
    <w:rsid w:val="00C63E9D"/>
    <w:rsid w:val="00C65259"/>
    <w:rsid w:val="00C70E72"/>
    <w:rsid w:val="00C737BA"/>
    <w:rsid w:val="00C74DDF"/>
    <w:rsid w:val="00C750A9"/>
    <w:rsid w:val="00C753A4"/>
    <w:rsid w:val="00C7601A"/>
    <w:rsid w:val="00C81625"/>
    <w:rsid w:val="00C81D51"/>
    <w:rsid w:val="00C82224"/>
    <w:rsid w:val="00C826D9"/>
    <w:rsid w:val="00C84435"/>
    <w:rsid w:val="00C845AC"/>
    <w:rsid w:val="00C85CF4"/>
    <w:rsid w:val="00C85F77"/>
    <w:rsid w:val="00C8701A"/>
    <w:rsid w:val="00C8739E"/>
    <w:rsid w:val="00C9050E"/>
    <w:rsid w:val="00C908B3"/>
    <w:rsid w:val="00C91766"/>
    <w:rsid w:val="00C91EE9"/>
    <w:rsid w:val="00C9265D"/>
    <w:rsid w:val="00C933E2"/>
    <w:rsid w:val="00C93C6D"/>
    <w:rsid w:val="00C93F2B"/>
    <w:rsid w:val="00C946C2"/>
    <w:rsid w:val="00CA085A"/>
    <w:rsid w:val="00CA3A06"/>
    <w:rsid w:val="00CA3C30"/>
    <w:rsid w:val="00CA6BF2"/>
    <w:rsid w:val="00CA74BF"/>
    <w:rsid w:val="00CB0703"/>
    <w:rsid w:val="00CC00B9"/>
    <w:rsid w:val="00CC015D"/>
    <w:rsid w:val="00CC1D72"/>
    <w:rsid w:val="00CC2ADF"/>
    <w:rsid w:val="00CC3102"/>
    <w:rsid w:val="00CC3E4B"/>
    <w:rsid w:val="00CC5715"/>
    <w:rsid w:val="00CD0E3D"/>
    <w:rsid w:val="00CD0F52"/>
    <w:rsid w:val="00CD1831"/>
    <w:rsid w:val="00CD561E"/>
    <w:rsid w:val="00CD570F"/>
    <w:rsid w:val="00CD6C80"/>
    <w:rsid w:val="00CE0350"/>
    <w:rsid w:val="00CE0AC7"/>
    <w:rsid w:val="00CE10F3"/>
    <w:rsid w:val="00CE140C"/>
    <w:rsid w:val="00CE1D3E"/>
    <w:rsid w:val="00CE2704"/>
    <w:rsid w:val="00CE2CDC"/>
    <w:rsid w:val="00CE3E0C"/>
    <w:rsid w:val="00CE4279"/>
    <w:rsid w:val="00CE42A8"/>
    <w:rsid w:val="00CE51A2"/>
    <w:rsid w:val="00CF0AA0"/>
    <w:rsid w:val="00CF3860"/>
    <w:rsid w:val="00CF44E5"/>
    <w:rsid w:val="00CF69F0"/>
    <w:rsid w:val="00CF702F"/>
    <w:rsid w:val="00D02FDC"/>
    <w:rsid w:val="00D0476B"/>
    <w:rsid w:val="00D04D02"/>
    <w:rsid w:val="00D04ECA"/>
    <w:rsid w:val="00D052EB"/>
    <w:rsid w:val="00D05BBA"/>
    <w:rsid w:val="00D05BE9"/>
    <w:rsid w:val="00D07F9A"/>
    <w:rsid w:val="00D11365"/>
    <w:rsid w:val="00D143E8"/>
    <w:rsid w:val="00D15182"/>
    <w:rsid w:val="00D156B3"/>
    <w:rsid w:val="00D1618D"/>
    <w:rsid w:val="00D16625"/>
    <w:rsid w:val="00D214C8"/>
    <w:rsid w:val="00D216DC"/>
    <w:rsid w:val="00D2358E"/>
    <w:rsid w:val="00D25F04"/>
    <w:rsid w:val="00D27687"/>
    <w:rsid w:val="00D30625"/>
    <w:rsid w:val="00D33E08"/>
    <w:rsid w:val="00D34EA5"/>
    <w:rsid w:val="00D358CD"/>
    <w:rsid w:val="00D35D2D"/>
    <w:rsid w:val="00D36103"/>
    <w:rsid w:val="00D3688B"/>
    <w:rsid w:val="00D36955"/>
    <w:rsid w:val="00D434BC"/>
    <w:rsid w:val="00D435E7"/>
    <w:rsid w:val="00D44C47"/>
    <w:rsid w:val="00D452BA"/>
    <w:rsid w:val="00D4616B"/>
    <w:rsid w:val="00D51471"/>
    <w:rsid w:val="00D5499C"/>
    <w:rsid w:val="00D55076"/>
    <w:rsid w:val="00D5549C"/>
    <w:rsid w:val="00D55EE7"/>
    <w:rsid w:val="00D57122"/>
    <w:rsid w:val="00D57233"/>
    <w:rsid w:val="00D57BDC"/>
    <w:rsid w:val="00D57C9C"/>
    <w:rsid w:val="00D64F5A"/>
    <w:rsid w:val="00D66517"/>
    <w:rsid w:val="00D70E95"/>
    <w:rsid w:val="00D71F8A"/>
    <w:rsid w:val="00D72446"/>
    <w:rsid w:val="00D72558"/>
    <w:rsid w:val="00D72AF8"/>
    <w:rsid w:val="00D7300F"/>
    <w:rsid w:val="00D75BC1"/>
    <w:rsid w:val="00D7664F"/>
    <w:rsid w:val="00D7780B"/>
    <w:rsid w:val="00D81B95"/>
    <w:rsid w:val="00D823B3"/>
    <w:rsid w:val="00D82935"/>
    <w:rsid w:val="00D83CFF"/>
    <w:rsid w:val="00D867A3"/>
    <w:rsid w:val="00D873A6"/>
    <w:rsid w:val="00D87F72"/>
    <w:rsid w:val="00D91579"/>
    <w:rsid w:val="00D929CB"/>
    <w:rsid w:val="00D94545"/>
    <w:rsid w:val="00D9457E"/>
    <w:rsid w:val="00D958CB"/>
    <w:rsid w:val="00D9592E"/>
    <w:rsid w:val="00D96FB7"/>
    <w:rsid w:val="00DA0BEF"/>
    <w:rsid w:val="00DA10F5"/>
    <w:rsid w:val="00DA2EDC"/>
    <w:rsid w:val="00DA51EC"/>
    <w:rsid w:val="00DA5590"/>
    <w:rsid w:val="00DA57D9"/>
    <w:rsid w:val="00DA594C"/>
    <w:rsid w:val="00DA5D38"/>
    <w:rsid w:val="00DA6349"/>
    <w:rsid w:val="00DA7619"/>
    <w:rsid w:val="00DB00EB"/>
    <w:rsid w:val="00DB2B12"/>
    <w:rsid w:val="00DB74C7"/>
    <w:rsid w:val="00DB7791"/>
    <w:rsid w:val="00DC0A36"/>
    <w:rsid w:val="00DC0BDD"/>
    <w:rsid w:val="00DC0C84"/>
    <w:rsid w:val="00DC492A"/>
    <w:rsid w:val="00DC52AF"/>
    <w:rsid w:val="00DC5379"/>
    <w:rsid w:val="00DC562D"/>
    <w:rsid w:val="00DC5CA8"/>
    <w:rsid w:val="00DC7043"/>
    <w:rsid w:val="00DC7294"/>
    <w:rsid w:val="00DC72F5"/>
    <w:rsid w:val="00DD1AAA"/>
    <w:rsid w:val="00DD1B92"/>
    <w:rsid w:val="00DD211B"/>
    <w:rsid w:val="00DD21AE"/>
    <w:rsid w:val="00DD5F9E"/>
    <w:rsid w:val="00DD7918"/>
    <w:rsid w:val="00DE02F3"/>
    <w:rsid w:val="00DE08D8"/>
    <w:rsid w:val="00DE1494"/>
    <w:rsid w:val="00DE1A2B"/>
    <w:rsid w:val="00DE36CE"/>
    <w:rsid w:val="00DE4638"/>
    <w:rsid w:val="00DE4CBB"/>
    <w:rsid w:val="00DF193B"/>
    <w:rsid w:val="00DF4DE7"/>
    <w:rsid w:val="00DF4E77"/>
    <w:rsid w:val="00DF4F58"/>
    <w:rsid w:val="00DF561D"/>
    <w:rsid w:val="00DF6815"/>
    <w:rsid w:val="00E00198"/>
    <w:rsid w:val="00E00CFE"/>
    <w:rsid w:val="00E0204C"/>
    <w:rsid w:val="00E062CE"/>
    <w:rsid w:val="00E0679D"/>
    <w:rsid w:val="00E11ABE"/>
    <w:rsid w:val="00E12EBD"/>
    <w:rsid w:val="00E1343E"/>
    <w:rsid w:val="00E13B92"/>
    <w:rsid w:val="00E14F47"/>
    <w:rsid w:val="00E1512F"/>
    <w:rsid w:val="00E1568A"/>
    <w:rsid w:val="00E169FC"/>
    <w:rsid w:val="00E21308"/>
    <w:rsid w:val="00E22076"/>
    <w:rsid w:val="00E22588"/>
    <w:rsid w:val="00E2400A"/>
    <w:rsid w:val="00E252CE"/>
    <w:rsid w:val="00E27E0B"/>
    <w:rsid w:val="00E3180C"/>
    <w:rsid w:val="00E31E3C"/>
    <w:rsid w:val="00E32C78"/>
    <w:rsid w:val="00E33901"/>
    <w:rsid w:val="00E35040"/>
    <w:rsid w:val="00E35542"/>
    <w:rsid w:val="00E4068F"/>
    <w:rsid w:val="00E449BC"/>
    <w:rsid w:val="00E44CC3"/>
    <w:rsid w:val="00E46096"/>
    <w:rsid w:val="00E47705"/>
    <w:rsid w:val="00E47A87"/>
    <w:rsid w:val="00E47F37"/>
    <w:rsid w:val="00E50050"/>
    <w:rsid w:val="00E508CB"/>
    <w:rsid w:val="00E5210C"/>
    <w:rsid w:val="00E52B73"/>
    <w:rsid w:val="00E53791"/>
    <w:rsid w:val="00E53B20"/>
    <w:rsid w:val="00E555AA"/>
    <w:rsid w:val="00E5750E"/>
    <w:rsid w:val="00E57E09"/>
    <w:rsid w:val="00E6134D"/>
    <w:rsid w:val="00E6236B"/>
    <w:rsid w:val="00E62DB8"/>
    <w:rsid w:val="00E6326F"/>
    <w:rsid w:val="00E6345F"/>
    <w:rsid w:val="00E63479"/>
    <w:rsid w:val="00E640BB"/>
    <w:rsid w:val="00E646A3"/>
    <w:rsid w:val="00E6492A"/>
    <w:rsid w:val="00E65465"/>
    <w:rsid w:val="00E65C5A"/>
    <w:rsid w:val="00E675B6"/>
    <w:rsid w:val="00E7153B"/>
    <w:rsid w:val="00E71E7E"/>
    <w:rsid w:val="00E723BD"/>
    <w:rsid w:val="00E749A7"/>
    <w:rsid w:val="00E74F11"/>
    <w:rsid w:val="00E776CA"/>
    <w:rsid w:val="00E81580"/>
    <w:rsid w:val="00E82017"/>
    <w:rsid w:val="00E83707"/>
    <w:rsid w:val="00E84010"/>
    <w:rsid w:val="00E84910"/>
    <w:rsid w:val="00E85989"/>
    <w:rsid w:val="00E86F4C"/>
    <w:rsid w:val="00E877CE"/>
    <w:rsid w:val="00E87D87"/>
    <w:rsid w:val="00E938DE"/>
    <w:rsid w:val="00E95904"/>
    <w:rsid w:val="00EA2916"/>
    <w:rsid w:val="00EA3796"/>
    <w:rsid w:val="00EA388B"/>
    <w:rsid w:val="00EA3926"/>
    <w:rsid w:val="00EA4519"/>
    <w:rsid w:val="00EA48DF"/>
    <w:rsid w:val="00EA7F16"/>
    <w:rsid w:val="00EB08B3"/>
    <w:rsid w:val="00EB47D9"/>
    <w:rsid w:val="00EB5294"/>
    <w:rsid w:val="00EB590A"/>
    <w:rsid w:val="00EB5B12"/>
    <w:rsid w:val="00EB6B93"/>
    <w:rsid w:val="00EB7040"/>
    <w:rsid w:val="00EC0AF4"/>
    <w:rsid w:val="00EC170E"/>
    <w:rsid w:val="00EC175F"/>
    <w:rsid w:val="00EC344C"/>
    <w:rsid w:val="00EC3A36"/>
    <w:rsid w:val="00EC4468"/>
    <w:rsid w:val="00EC5F9F"/>
    <w:rsid w:val="00ED36AE"/>
    <w:rsid w:val="00ED38AF"/>
    <w:rsid w:val="00ED5AC5"/>
    <w:rsid w:val="00ED6A1C"/>
    <w:rsid w:val="00ED7990"/>
    <w:rsid w:val="00EE043A"/>
    <w:rsid w:val="00EE2361"/>
    <w:rsid w:val="00EE23E7"/>
    <w:rsid w:val="00EE7247"/>
    <w:rsid w:val="00EF02A4"/>
    <w:rsid w:val="00EF22B1"/>
    <w:rsid w:val="00EF2862"/>
    <w:rsid w:val="00EF65CB"/>
    <w:rsid w:val="00EF7103"/>
    <w:rsid w:val="00EF7652"/>
    <w:rsid w:val="00F009DF"/>
    <w:rsid w:val="00F010DC"/>
    <w:rsid w:val="00F03AC5"/>
    <w:rsid w:val="00F04AC3"/>
    <w:rsid w:val="00F05872"/>
    <w:rsid w:val="00F07324"/>
    <w:rsid w:val="00F0779F"/>
    <w:rsid w:val="00F10961"/>
    <w:rsid w:val="00F13085"/>
    <w:rsid w:val="00F131C0"/>
    <w:rsid w:val="00F13C23"/>
    <w:rsid w:val="00F155F5"/>
    <w:rsid w:val="00F15BD0"/>
    <w:rsid w:val="00F16786"/>
    <w:rsid w:val="00F200A4"/>
    <w:rsid w:val="00F21A41"/>
    <w:rsid w:val="00F23133"/>
    <w:rsid w:val="00F2416E"/>
    <w:rsid w:val="00F24285"/>
    <w:rsid w:val="00F24A1C"/>
    <w:rsid w:val="00F2568C"/>
    <w:rsid w:val="00F2720E"/>
    <w:rsid w:val="00F3063A"/>
    <w:rsid w:val="00F31E3E"/>
    <w:rsid w:val="00F32EE6"/>
    <w:rsid w:val="00F33CF1"/>
    <w:rsid w:val="00F35A07"/>
    <w:rsid w:val="00F35E1E"/>
    <w:rsid w:val="00F36039"/>
    <w:rsid w:val="00F41632"/>
    <w:rsid w:val="00F416EB"/>
    <w:rsid w:val="00F436E2"/>
    <w:rsid w:val="00F45D5A"/>
    <w:rsid w:val="00F47D4A"/>
    <w:rsid w:val="00F47E84"/>
    <w:rsid w:val="00F5185C"/>
    <w:rsid w:val="00F51D17"/>
    <w:rsid w:val="00F53996"/>
    <w:rsid w:val="00F562F9"/>
    <w:rsid w:val="00F564E2"/>
    <w:rsid w:val="00F57DEC"/>
    <w:rsid w:val="00F600ED"/>
    <w:rsid w:val="00F63D36"/>
    <w:rsid w:val="00F6511D"/>
    <w:rsid w:val="00F65201"/>
    <w:rsid w:val="00F66FB7"/>
    <w:rsid w:val="00F70026"/>
    <w:rsid w:val="00F72E90"/>
    <w:rsid w:val="00F74226"/>
    <w:rsid w:val="00F7787C"/>
    <w:rsid w:val="00F808D5"/>
    <w:rsid w:val="00F8168F"/>
    <w:rsid w:val="00F8272E"/>
    <w:rsid w:val="00F83870"/>
    <w:rsid w:val="00F86682"/>
    <w:rsid w:val="00F86BDF"/>
    <w:rsid w:val="00F9231E"/>
    <w:rsid w:val="00F924F9"/>
    <w:rsid w:val="00F93FAD"/>
    <w:rsid w:val="00F94392"/>
    <w:rsid w:val="00F949E2"/>
    <w:rsid w:val="00F96439"/>
    <w:rsid w:val="00FA11F1"/>
    <w:rsid w:val="00FA1404"/>
    <w:rsid w:val="00FA39AC"/>
    <w:rsid w:val="00FA51C0"/>
    <w:rsid w:val="00FA672A"/>
    <w:rsid w:val="00FA6FEE"/>
    <w:rsid w:val="00FA7109"/>
    <w:rsid w:val="00FA7D9A"/>
    <w:rsid w:val="00FA7FAC"/>
    <w:rsid w:val="00FB064E"/>
    <w:rsid w:val="00FB1CC4"/>
    <w:rsid w:val="00FB1E08"/>
    <w:rsid w:val="00FB2CB1"/>
    <w:rsid w:val="00FB4AC7"/>
    <w:rsid w:val="00FB7522"/>
    <w:rsid w:val="00FC071C"/>
    <w:rsid w:val="00FC17DA"/>
    <w:rsid w:val="00FC189D"/>
    <w:rsid w:val="00FC21E8"/>
    <w:rsid w:val="00FC2ECC"/>
    <w:rsid w:val="00FC3910"/>
    <w:rsid w:val="00FC396B"/>
    <w:rsid w:val="00FC4555"/>
    <w:rsid w:val="00FC4665"/>
    <w:rsid w:val="00FC4A12"/>
    <w:rsid w:val="00FC4C5E"/>
    <w:rsid w:val="00FC4F2E"/>
    <w:rsid w:val="00FC57A0"/>
    <w:rsid w:val="00FC5C68"/>
    <w:rsid w:val="00FC5F09"/>
    <w:rsid w:val="00FD0055"/>
    <w:rsid w:val="00FD07D7"/>
    <w:rsid w:val="00FD0A02"/>
    <w:rsid w:val="00FD1406"/>
    <w:rsid w:val="00FD1666"/>
    <w:rsid w:val="00FD1A48"/>
    <w:rsid w:val="00FD21B8"/>
    <w:rsid w:val="00FD21D5"/>
    <w:rsid w:val="00FD26FF"/>
    <w:rsid w:val="00FD412F"/>
    <w:rsid w:val="00FD4740"/>
    <w:rsid w:val="00FD5AB5"/>
    <w:rsid w:val="00FD69B2"/>
    <w:rsid w:val="00FE0558"/>
    <w:rsid w:val="00FE1380"/>
    <w:rsid w:val="00FE1657"/>
    <w:rsid w:val="00FE1F4B"/>
    <w:rsid w:val="00FE3DDB"/>
    <w:rsid w:val="00FE4261"/>
    <w:rsid w:val="00FE59B2"/>
    <w:rsid w:val="00FE6732"/>
    <w:rsid w:val="00FE7A07"/>
    <w:rsid w:val="00FF043A"/>
    <w:rsid w:val="00FF30B3"/>
    <w:rsid w:val="00FF375E"/>
    <w:rsid w:val="00FF5117"/>
    <w:rsid w:val="01233A9E"/>
    <w:rsid w:val="018F4837"/>
    <w:rsid w:val="01B841E6"/>
    <w:rsid w:val="01EE5E5A"/>
    <w:rsid w:val="027345B1"/>
    <w:rsid w:val="02AE1145"/>
    <w:rsid w:val="03B14776"/>
    <w:rsid w:val="03C055D4"/>
    <w:rsid w:val="04243DB5"/>
    <w:rsid w:val="049525BD"/>
    <w:rsid w:val="0554052B"/>
    <w:rsid w:val="066F02F6"/>
    <w:rsid w:val="07267AAD"/>
    <w:rsid w:val="073D2BF1"/>
    <w:rsid w:val="085849D9"/>
    <w:rsid w:val="08B1198F"/>
    <w:rsid w:val="09081222"/>
    <w:rsid w:val="093700E7"/>
    <w:rsid w:val="0A193000"/>
    <w:rsid w:val="0A5C0B76"/>
    <w:rsid w:val="0A5F788E"/>
    <w:rsid w:val="0A894972"/>
    <w:rsid w:val="0B1F7084"/>
    <w:rsid w:val="0B39657D"/>
    <w:rsid w:val="0B6727D9"/>
    <w:rsid w:val="0BA23811"/>
    <w:rsid w:val="0BBB320F"/>
    <w:rsid w:val="0CD653AF"/>
    <w:rsid w:val="0D6B65B1"/>
    <w:rsid w:val="0DBC505E"/>
    <w:rsid w:val="0E2B5ABC"/>
    <w:rsid w:val="0E9E06A5"/>
    <w:rsid w:val="0EB775D4"/>
    <w:rsid w:val="0FAB0EE6"/>
    <w:rsid w:val="10CA3A39"/>
    <w:rsid w:val="10F92C50"/>
    <w:rsid w:val="10FA573F"/>
    <w:rsid w:val="11317B11"/>
    <w:rsid w:val="122431D2"/>
    <w:rsid w:val="127E3260"/>
    <w:rsid w:val="12BE53D5"/>
    <w:rsid w:val="13CB4A64"/>
    <w:rsid w:val="1450016E"/>
    <w:rsid w:val="14DE5FC6"/>
    <w:rsid w:val="15757784"/>
    <w:rsid w:val="16CB1E6E"/>
    <w:rsid w:val="17773DA4"/>
    <w:rsid w:val="178D67FA"/>
    <w:rsid w:val="18816102"/>
    <w:rsid w:val="1894056F"/>
    <w:rsid w:val="18A24E51"/>
    <w:rsid w:val="194B7296"/>
    <w:rsid w:val="1991739F"/>
    <w:rsid w:val="1A332204"/>
    <w:rsid w:val="1AE300CE"/>
    <w:rsid w:val="1B1A04AA"/>
    <w:rsid w:val="1B505038"/>
    <w:rsid w:val="1D392227"/>
    <w:rsid w:val="1E42510C"/>
    <w:rsid w:val="1ED3045A"/>
    <w:rsid w:val="201C45B9"/>
    <w:rsid w:val="204A64FA"/>
    <w:rsid w:val="20BB619D"/>
    <w:rsid w:val="21022930"/>
    <w:rsid w:val="21F55ABC"/>
    <w:rsid w:val="21FA76EA"/>
    <w:rsid w:val="22CC31F6"/>
    <w:rsid w:val="22E87ACC"/>
    <w:rsid w:val="23152DEF"/>
    <w:rsid w:val="234F5BD5"/>
    <w:rsid w:val="237D7E11"/>
    <w:rsid w:val="2398757C"/>
    <w:rsid w:val="23A45F21"/>
    <w:rsid w:val="2475171D"/>
    <w:rsid w:val="25540A61"/>
    <w:rsid w:val="25A55843"/>
    <w:rsid w:val="25A95A70"/>
    <w:rsid w:val="26127ABA"/>
    <w:rsid w:val="26E90A45"/>
    <w:rsid w:val="27230526"/>
    <w:rsid w:val="275B0FEC"/>
    <w:rsid w:val="27CC3C98"/>
    <w:rsid w:val="27E70AD2"/>
    <w:rsid w:val="28307EB7"/>
    <w:rsid w:val="285F68BA"/>
    <w:rsid w:val="28F56982"/>
    <w:rsid w:val="290343F4"/>
    <w:rsid w:val="291853E7"/>
    <w:rsid w:val="29B449E4"/>
    <w:rsid w:val="2A556529"/>
    <w:rsid w:val="2B244E25"/>
    <w:rsid w:val="2B3F2F8B"/>
    <w:rsid w:val="2B563FA5"/>
    <w:rsid w:val="2BA41690"/>
    <w:rsid w:val="2BB94533"/>
    <w:rsid w:val="2BC03B14"/>
    <w:rsid w:val="2C1D29B3"/>
    <w:rsid w:val="2C297706"/>
    <w:rsid w:val="2C6C08ED"/>
    <w:rsid w:val="2C8903AA"/>
    <w:rsid w:val="2CF577ED"/>
    <w:rsid w:val="2D1876E6"/>
    <w:rsid w:val="2D433781"/>
    <w:rsid w:val="2D68163C"/>
    <w:rsid w:val="2DD64619"/>
    <w:rsid w:val="2E2F6D2F"/>
    <w:rsid w:val="2EC35DF5"/>
    <w:rsid w:val="2F041F69"/>
    <w:rsid w:val="2F2B74F6"/>
    <w:rsid w:val="2F7D3007"/>
    <w:rsid w:val="313905F0"/>
    <w:rsid w:val="31644F41"/>
    <w:rsid w:val="32BA12BD"/>
    <w:rsid w:val="32D81743"/>
    <w:rsid w:val="32F32A21"/>
    <w:rsid w:val="33482D6D"/>
    <w:rsid w:val="339E298D"/>
    <w:rsid w:val="33B07AF9"/>
    <w:rsid w:val="33BA52ED"/>
    <w:rsid w:val="33E175D9"/>
    <w:rsid w:val="340842AA"/>
    <w:rsid w:val="348A1163"/>
    <w:rsid w:val="34C02317"/>
    <w:rsid w:val="35020CF9"/>
    <w:rsid w:val="35505F08"/>
    <w:rsid w:val="35C44201"/>
    <w:rsid w:val="36183A69"/>
    <w:rsid w:val="3679323D"/>
    <w:rsid w:val="36DE12F2"/>
    <w:rsid w:val="385E46E3"/>
    <w:rsid w:val="386677F1"/>
    <w:rsid w:val="39097501"/>
    <w:rsid w:val="390C0398"/>
    <w:rsid w:val="391A2AB5"/>
    <w:rsid w:val="3A325BDD"/>
    <w:rsid w:val="3AA60379"/>
    <w:rsid w:val="3ABE56C2"/>
    <w:rsid w:val="3B225C51"/>
    <w:rsid w:val="3C5A766D"/>
    <w:rsid w:val="3C7B40CF"/>
    <w:rsid w:val="3CDD0B2E"/>
    <w:rsid w:val="3CEA279F"/>
    <w:rsid w:val="3CFD4BC8"/>
    <w:rsid w:val="3D22018A"/>
    <w:rsid w:val="3E2C6DE7"/>
    <w:rsid w:val="3E946760"/>
    <w:rsid w:val="3EA27EBD"/>
    <w:rsid w:val="3EB968CD"/>
    <w:rsid w:val="4013200C"/>
    <w:rsid w:val="404B3E9C"/>
    <w:rsid w:val="4061546E"/>
    <w:rsid w:val="40E650B7"/>
    <w:rsid w:val="412A1D04"/>
    <w:rsid w:val="41AF045B"/>
    <w:rsid w:val="41BD2B78"/>
    <w:rsid w:val="42462B6D"/>
    <w:rsid w:val="425A6618"/>
    <w:rsid w:val="4308674D"/>
    <w:rsid w:val="430F11B1"/>
    <w:rsid w:val="4383394D"/>
    <w:rsid w:val="44F60DD0"/>
    <w:rsid w:val="461E170B"/>
    <w:rsid w:val="46DE6BC6"/>
    <w:rsid w:val="47727F60"/>
    <w:rsid w:val="4812704D"/>
    <w:rsid w:val="483B0352"/>
    <w:rsid w:val="48457423"/>
    <w:rsid w:val="485D651B"/>
    <w:rsid w:val="488C1506"/>
    <w:rsid w:val="48AC1250"/>
    <w:rsid w:val="48AC2FFE"/>
    <w:rsid w:val="48BD16AF"/>
    <w:rsid w:val="48C87F09"/>
    <w:rsid w:val="4A1946C3"/>
    <w:rsid w:val="4AAD106D"/>
    <w:rsid w:val="4B726781"/>
    <w:rsid w:val="4BCB40E3"/>
    <w:rsid w:val="4C150DF5"/>
    <w:rsid w:val="4C237A7B"/>
    <w:rsid w:val="4C4A325A"/>
    <w:rsid w:val="4D485656"/>
    <w:rsid w:val="4DA73178"/>
    <w:rsid w:val="4E127DA7"/>
    <w:rsid w:val="4E473EF5"/>
    <w:rsid w:val="4E597784"/>
    <w:rsid w:val="4F162E3C"/>
    <w:rsid w:val="4F9D7BCB"/>
    <w:rsid w:val="50597F0F"/>
    <w:rsid w:val="50D22EE7"/>
    <w:rsid w:val="50DE180B"/>
    <w:rsid w:val="51452242"/>
    <w:rsid w:val="51941333"/>
    <w:rsid w:val="529A5BDD"/>
    <w:rsid w:val="53C25DCC"/>
    <w:rsid w:val="54606915"/>
    <w:rsid w:val="54B020C8"/>
    <w:rsid w:val="54D7378E"/>
    <w:rsid w:val="554D5B69"/>
    <w:rsid w:val="55913CA7"/>
    <w:rsid w:val="56EE0C86"/>
    <w:rsid w:val="57120E18"/>
    <w:rsid w:val="571C3476"/>
    <w:rsid w:val="574A4B2A"/>
    <w:rsid w:val="5A4E0B38"/>
    <w:rsid w:val="5A6A4AC7"/>
    <w:rsid w:val="5BCF1F17"/>
    <w:rsid w:val="5C2A2760"/>
    <w:rsid w:val="5C5527B7"/>
    <w:rsid w:val="5C721BB1"/>
    <w:rsid w:val="5D4D6706"/>
    <w:rsid w:val="5D9E1657"/>
    <w:rsid w:val="5DB356FA"/>
    <w:rsid w:val="5E193A81"/>
    <w:rsid w:val="5E257683"/>
    <w:rsid w:val="5E337FF2"/>
    <w:rsid w:val="5E413D91"/>
    <w:rsid w:val="5FA10F8B"/>
    <w:rsid w:val="6057789C"/>
    <w:rsid w:val="6098238E"/>
    <w:rsid w:val="61167757"/>
    <w:rsid w:val="615C33BC"/>
    <w:rsid w:val="61761FA3"/>
    <w:rsid w:val="619D6F43"/>
    <w:rsid w:val="625B3673"/>
    <w:rsid w:val="63827325"/>
    <w:rsid w:val="648A5516"/>
    <w:rsid w:val="654E74BF"/>
    <w:rsid w:val="65B85280"/>
    <w:rsid w:val="65E47E23"/>
    <w:rsid w:val="6655332E"/>
    <w:rsid w:val="66576DFE"/>
    <w:rsid w:val="668F7D8F"/>
    <w:rsid w:val="674566A0"/>
    <w:rsid w:val="67742764"/>
    <w:rsid w:val="686139AD"/>
    <w:rsid w:val="68CD1043"/>
    <w:rsid w:val="68CD4B9F"/>
    <w:rsid w:val="69FD3262"/>
    <w:rsid w:val="6B590754"/>
    <w:rsid w:val="6B8F0831"/>
    <w:rsid w:val="6C054587"/>
    <w:rsid w:val="6CC12C6C"/>
    <w:rsid w:val="6CE81FA7"/>
    <w:rsid w:val="6DC36570"/>
    <w:rsid w:val="6E250A0F"/>
    <w:rsid w:val="6E26547D"/>
    <w:rsid w:val="6E2C6902"/>
    <w:rsid w:val="6F484F7F"/>
    <w:rsid w:val="719426FE"/>
    <w:rsid w:val="72D8486C"/>
    <w:rsid w:val="7349576A"/>
    <w:rsid w:val="734C0DB6"/>
    <w:rsid w:val="73706310"/>
    <w:rsid w:val="73880040"/>
    <w:rsid w:val="73B01345"/>
    <w:rsid w:val="7541494A"/>
    <w:rsid w:val="75581C94"/>
    <w:rsid w:val="757765BE"/>
    <w:rsid w:val="75907680"/>
    <w:rsid w:val="766D176F"/>
    <w:rsid w:val="787E1A12"/>
    <w:rsid w:val="7984574E"/>
    <w:rsid w:val="7A1E16FE"/>
    <w:rsid w:val="7A540C7C"/>
    <w:rsid w:val="7AFB74C9"/>
    <w:rsid w:val="7B5F2B22"/>
    <w:rsid w:val="7BC57958"/>
    <w:rsid w:val="7BCB31C0"/>
    <w:rsid w:val="7BE91898"/>
    <w:rsid w:val="7C43482E"/>
    <w:rsid w:val="7CA57EB5"/>
    <w:rsid w:val="7CB00608"/>
    <w:rsid w:val="7CC540B3"/>
    <w:rsid w:val="7CD9190C"/>
    <w:rsid w:val="7D3D7F50"/>
    <w:rsid w:val="7DBA7990"/>
    <w:rsid w:val="7F3F6C3A"/>
    <w:rsid w:val="7F4F4108"/>
    <w:rsid w:val="7FBD72C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qFormat="1" w:uiPriority="99" w:name="endnote reference"/>
    <w:lsdException w:qFormat="1"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24"/>
    <w:qFormat/>
    <w:uiPriority w:val="9"/>
    <w:pPr>
      <w:keepNext/>
      <w:keepLines/>
      <w:numPr>
        <w:ilvl w:val="0"/>
        <w:numId w:val="1"/>
      </w:numPr>
      <w:spacing w:before="330" w:after="330" w:line="360" w:lineRule="auto"/>
      <w:outlineLvl w:val="0"/>
    </w:pPr>
    <w:rPr>
      <w:b/>
      <w:bCs/>
      <w:kern w:val="44"/>
      <w:sz w:val="28"/>
      <w:szCs w:val="44"/>
    </w:rPr>
  </w:style>
  <w:style w:type="paragraph" w:styleId="3">
    <w:name w:val="heading 2"/>
    <w:basedOn w:val="1"/>
    <w:next w:val="1"/>
    <w:link w:val="29"/>
    <w:unhideWhenUsed/>
    <w:qFormat/>
    <w:uiPriority w:val="9"/>
    <w:pPr>
      <w:keepNext/>
      <w:keepLines/>
      <w:numPr>
        <w:ilvl w:val="1"/>
        <w:numId w:val="1"/>
      </w:numPr>
      <w:spacing w:before="130" w:after="130" w:line="360" w:lineRule="auto"/>
      <w:outlineLvl w:val="1"/>
    </w:pPr>
    <w:rPr>
      <w:rFonts w:ascii="Times New Roman" w:hAnsi="Times New Roman" w:eastAsia="宋体" w:cstheme="majorBidi"/>
      <w:bCs/>
      <w:sz w:val="24"/>
      <w:szCs w:val="32"/>
    </w:rPr>
  </w:style>
  <w:style w:type="paragraph" w:styleId="4">
    <w:name w:val="heading 3"/>
    <w:basedOn w:val="1"/>
    <w:next w:val="1"/>
    <w:link w:val="33"/>
    <w:unhideWhenUsed/>
    <w:qFormat/>
    <w:uiPriority w:val="9"/>
    <w:pPr>
      <w:keepNext/>
      <w:keepLines/>
      <w:numPr>
        <w:ilvl w:val="2"/>
        <w:numId w:val="1"/>
      </w:numPr>
      <w:spacing w:before="130" w:after="130" w:line="360" w:lineRule="auto"/>
      <w:outlineLvl w:val="2"/>
    </w:pPr>
    <w:rPr>
      <w:rFonts w:ascii="Times New Roman" w:hAnsi="Times New Roman" w:eastAsia="宋体"/>
      <w:bCs/>
      <w:sz w:val="24"/>
      <w:szCs w:val="32"/>
    </w:rPr>
  </w:style>
  <w:style w:type="character" w:default="1" w:styleId="18">
    <w:name w:val="Default Paragraph Font"/>
    <w:unhideWhenUsed/>
    <w:qFormat/>
    <w:uiPriority w:val="1"/>
  </w:style>
  <w:style w:type="table" w:default="1" w:styleId="16">
    <w:name w:val="Normal Table"/>
    <w:semiHidden/>
    <w:unhideWhenUsed/>
    <w:qFormat/>
    <w:uiPriority w:val="99"/>
    <w:tblPr>
      <w:tblCellMar>
        <w:top w:w="0" w:type="dxa"/>
        <w:left w:w="108" w:type="dxa"/>
        <w:bottom w:w="0" w:type="dxa"/>
        <w:right w:w="108" w:type="dxa"/>
      </w:tblCellMar>
    </w:tblPr>
  </w:style>
  <w:style w:type="paragraph" w:styleId="5">
    <w:name w:val="caption"/>
    <w:basedOn w:val="1"/>
    <w:next w:val="1"/>
    <w:unhideWhenUsed/>
    <w:qFormat/>
    <w:uiPriority w:val="0"/>
    <w:pPr>
      <w:spacing w:line="300" w:lineRule="auto"/>
      <w:jc w:val="center"/>
    </w:pPr>
    <w:rPr>
      <w:rFonts w:ascii="Times New Roman" w:hAnsi="Times New Roman" w:eastAsia="黑体" w:cstheme="majorBidi"/>
      <w:b/>
      <w:szCs w:val="20"/>
    </w:rPr>
  </w:style>
  <w:style w:type="paragraph" w:styleId="6">
    <w:name w:val="annotation text"/>
    <w:basedOn w:val="1"/>
    <w:link w:val="25"/>
    <w:semiHidden/>
    <w:unhideWhenUsed/>
    <w:qFormat/>
    <w:uiPriority w:val="99"/>
    <w:pPr>
      <w:jc w:val="left"/>
    </w:pPr>
    <w:rPr>
      <w:rFonts w:ascii="Times New Roman" w:hAnsi="Times New Roman" w:eastAsia="宋体" w:cs="Times New Roman"/>
      <w:szCs w:val="24"/>
    </w:rPr>
  </w:style>
  <w:style w:type="paragraph" w:styleId="7">
    <w:name w:val="toc 3"/>
    <w:basedOn w:val="1"/>
    <w:next w:val="1"/>
    <w:unhideWhenUsed/>
    <w:qFormat/>
    <w:uiPriority w:val="39"/>
    <w:pPr>
      <w:tabs>
        <w:tab w:val="left" w:pos="1680"/>
        <w:tab w:val="right" w:leader="dot" w:pos="8296"/>
      </w:tabs>
      <w:ind w:left="840" w:leftChars="400"/>
    </w:pPr>
  </w:style>
  <w:style w:type="paragraph" w:styleId="8">
    <w:name w:val="endnote text"/>
    <w:basedOn w:val="1"/>
    <w:link w:val="30"/>
    <w:semiHidden/>
    <w:unhideWhenUsed/>
    <w:qFormat/>
    <w:uiPriority w:val="99"/>
    <w:pPr>
      <w:snapToGrid w:val="0"/>
      <w:jc w:val="left"/>
    </w:pPr>
  </w:style>
  <w:style w:type="paragraph" w:styleId="9">
    <w:name w:val="Balloon Text"/>
    <w:basedOn w:val="1"/>
    <w:link w:val="26"/>
    <w:semiHidden/>
    <w:unhideWhenUsed/>
    <w:qFormat/>
    <w:uiPriority w:val="99"/>
    <w:rPr>
      <w:sz w:val="18"/>
      <w:szCs w:val="18"/>
    </w:rPr>
  </w:style>
  <w:style w:type="paragraph" w:styleId="10">
    <w:name w:val="footer"/>
    <w:basedOn w:val="1"/>
    <w:link w:val="37"/>
    <w:unhideWhenUsed/>
    <w:qFormat/>
    <w:uiPriority w:val="99"/>
    <w:pPr>
      <w:tabs>
        <w:tab w:val="center" w:pos="4153"/>
        <w:tab w:val="right" w:pos="8306"/>
      </w:tabs>
      <w:snapToGrid w:val="0"/>
      <w:jc w:val="left"/>
    </w:pPr>
    <w:rPr>
      <w:sz w:val="18"/>
      <w:szCs w:val="18"/>
    </w:rPr>
  </w:style>
  <w:style w:type="paragraph" w:styleId="11">
    <w:name w:val="header"/>
    <w:basedOn w:val="1"/>
    <w:link w:val="36"/>
    <w:unhideWhenUsed/>
    <w:qFormat/>
    <w:uiPriority w:val="99"/>
    <w:pPr>
      <w:pBdr>
        <w:bottom w:val="single" w:color="auto" w:sz="6" w:space="1"/>
      </w:pBdr>
      <w:tabs>
        <w:tab w:val="center" w:pos="4153"/>
        <w:tab w:val="right" w:pos="8306"/>
      </w:tabs>
      <w:snapToGrid w:val="0"/>
      <w:jc w:val="center"/>
    </w:pPr>
    <w:rPr>
      <w:sz w:val="18"/>
      <w:szCs w:val="18"/>
    </w:rPr>
  </w:style>
  <w:style w:type="paragraph" w:styleId="12">
    <w:name w:val="toc 1"/>
    <w:basedOn w:val="1"/>
    <w:next w:val="1"/>
    <w:unhideWhenUsed/>
    <w:qFormat/>
    <w:uiPriority w:val="39"/>
    <w:pPr>
      <w:tabs>
        <w:tab w:val="left" w:pos="420"/>
        <w:tab w:val="right" w:leader="dot" w:pos="8296"/>
      </w:tabs>
    </w:pPr>
  </w:style>
  <w:style w:type="paragraph" w:styleId="13">
    <w:name w:val="toc 2"/>
    <w:basedOn w:val="1"/>
    <w:next w:val="1"/>
    <w:unhideWhenUsed/>
    <w:qFormat/>
    <w:uiPriority w:val="39"/>
    <w:pPr>
      <w:tabs>
        <w:tab w:val="left" w:pos="1050"/>
        <w:tab w:val="right" w:leader="dot" w:pos="8296"/>
      </w:tabs>
      <w:ind w:left="420" w:leftChars="200"/>
    </w:pPr>
  </w:style>
  <w:style w:type="paragraph" w:styleId="14">
    <w:name w:val="Normal (Web)"/>
    <w:basedOn w:val="1"/>
    <w:unhideWhenUsed/>
    <w:qFormat/>
    <w:uiPriority w:val="99"/>
    <w:pPr>
      <w:spacing w:beforeAutospacing="1" w:afterAutospacing="1" w:line="360" w:lineRule="auto"/>
      <w:ind w:firstLine="200" w:firstLineChars="200"/>
      <w:jc w:val="left"/>
    </w:pPr>
    <w:rPr>
      <w:rFonts w:ascii="Calibri" w:hAnsi="Calibri" w:eastAsia="宋体" w:cs="Times New Roman"/>
      <w:kern w:val="0"/>
      <w:sz w:val="24"/>
    </w:rPr>
  </w:style>
  <w:style w:type="paragraph" w:styleId="15">
    <w:name w:val="annotation subject"/>
    <w:basedOn w:val="6"/>
    <w:next w:val="6"/>
    <w:link w:val="27"/>
    <w:semiHidden/>
    <w:unhideWhenUsed/>
    <w:qFormat/>
    <w:uiPriority w:val="99"/>
    <w:rPr>
      <w:rFonts w:asciiTheme="minorHAnsi" w:hAnsiTheme="minorHAnsi" w:eastAsiaTheme="minorEastAsia" w:cstheme="minorBidi"/>
      <w:b/>
      <w:bCs/>
      <w:szCs w:val="22"/>
    </w:rPr>
  </w:style>
  <w:style w:type="table" w:styleId="17">
    <w:name w:val="Table Grid"/>
    <w:basedOn w:val="16"/>
    <w:qFormat/>
    <w:uiPriority w:val="39"/>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9">
    <w:name w:val="endnote reference"/>
    <w:basedOn w:val="18"/>
    <w:semiHidden/>
    <w:unhideWhenUsed/>
    <w:qFormat/>
    <w:uiPriority w:val="99"/>
    <w:rPr>
      <w:vertAlign w:val="superscript"/>
    </w:rPr>
  </w:style>
  <w:style w:type="character" w:styleId="20">
    <w:name w:val="Hyperlink"/>
    <w:basedOn w:val="18"/>
    <w:unhideWhenUsed/>
    <w:qFormat/>
    <w:uiPriority w:val="99"/>
    <w:rPr>
      <w:color w:val="0000FF"/>
      <w:u w:val="single"/>
    </w:rPr>
  </w:style>
  <w:style w:type="character" w:styleId="21">
    <w:name w:val="annotation reference"/>
    <w:basedOn w:val="18"/>
    <w:semiHidden/>
    <w:unhideWhenUsed/>
    <w:qFormat/>
    <w:uiPriority w:val="99"/>
    <w:rPr>
      <w:sz w:val="21"/>
      <w:szCs w:val="21"/>
    </w:rPr>
  </w:style>
  <w:style w:type="paragraph" w:customStyle="1" w:styleId="22">
    <w:name w:val="章"/>
    <w:basedOn w:val="1"/>
    <w:qFormat/>
    <w:uiPriority w:val="0"/>
    <w:pPr>
      <w:spacing w:beforeLines="100" w:line="300" w:lineRule="auto"/>
      <w:jc w:val="center"/>
      <w:outlineLvl w:val="0"/>
    </w:pPr>
    <w:rPr>
      <w:rFonts w:ascii="Times New Roman" w:hAnsi="Times New Roman" w:eastAsia="宋体" w:cs="Times New Roman"/>
      <w:b/>
      <w:bCs/>
      <w:sz w:val="28"/>
      <w:szCs w:val="28"/>
    </w:rPr>
  </w:style>
  <w:style w:type="paragraph" w:styleId="23">
    <w:name w:val="List Paragraph"/>
    <w:basedOn w:val="1"/>
    <w:link w:val="34"/>
    <w:qFormat/>
    <w:uiPriority w:val="34"/>
    <w:pPr>
      <w:ind w:firstLine="420" w:firstLineChars="200"/>
    </w:pPr>
  </w:style>
  <w:style w:type="character" w:customStyle="1" w:styleId="24">
    <w:name w:val="标题 1 字符"/>
    <w:basedOn w:val="18"/>
    <w:link w:val="2"/>
    <w:qFormat/>
    <w:uiPriority w:val="9"/>
    <w:rPr>
      <w:b/>
      <w:bCs/>
      <w:kern w:val="44"/>
      <w:sz w:val="28"/>
      <w:szCs w:val="44"/>
    </w:rPr>
  </w:style>
  <w:style w:type="character" w:customStyle="1" w:styleId="25">
    <w:name w:val="批注文字 字符"/>
    <w:basedOn w:val="18"/>
    <w:link w:val="6"/>
    <w:semiHidden/>
    <w:qFormat/>
    <w:uiPriority w:val="99"/>
    <w:rPr>
      <w:rFonts w:ascii="Times New Roman" w:hAnsi="Times New Roman" w:eastAsia="宋体" w:cs="Times New Roman"/>
      <w:szCs w:val="24"/>
    </w:rPr>
  </w:style>
  <w:style w:type="character" w:customStyle="1" w:styleId="26">
    <w:name w:val="批注框文本 字符"/>
    <w:basedOn w:val="18"/>
    <w:link w:val="9"/>
    <w:semiHidden/>
    <w:qFormat/>
    <w:uiPriority w:val="99"/>
    <w:rPr>
      <w:sz w:val="18"/>
      <w:szCs w:val="18"/>
    </w:rPr>
  </w:style>
  <w:style w:type="character" w:customStyle="1" w:styleId="27">
    <w:name w:val="批注主题 字符"/>
    <w:basedOn w:val="25"/>
    <w:link w:val="15"/>
    <w:semiHidden/>
    <w:qFormat/>
    <w:uiPriority w:val="99"/>
    <w:rPr>
      <w:rFonts w:ascii="Times New Roman" w:hAnsi="Times New Roman" w:eastAsia="宋体" w:cs="Times New Roman"/>
      <w:b/>
      <w:bCs/>
      <w:szCs w:val="24"/>
    </w:rPr>
  </w:style>
  <w:style w:type="table" w:customStyle="1" w:styleId="28">
    <w:name w:val="网格表 4 - 着色 11"/>
    <w:basedOn w:val="16"/>
    <w:qFormat/>
    <w:uiPriority w:val="49"/>
    <w:rPr>
      <w:rFonts w:eastAsia="Times New Roman"/>
      <w:kern w:val="0"/>
      <w:sz w:val="20"/>
      <w:szCs w:val="20"/>
    </w:rPr>
    <w:tblPr>
      <w:tblBorders>
        <w:top w:val="single" w:color="8EAADB" w:themeColor="accent1" w:themeTint="99" w:sz="4" w:space="0"/>
        <w:left w:val="single" w:color="8EAADB" w:themeColor="accent1" w:themeTint="99" w:sz="4" w:space="0"/>
        <w:bottom w:val="single" w:color="8EAADB" w:themeColor="accent1" w:themeTint="99" w:sz="4" w:space="0"/>
        <w:right w:val="single" w:color="8EAADB" w:themeColor="accent1" w:themeTint="99" w:sz="4" w:space="0"/>
        <w:insideH w:val="single" w:color="8EAADB" w:themeColor="accent1" w:themeTint="99" w:sz="4" w:space="0"/>
        <w:insideV w:val="single" w:color="8EAADB" w:themeColor="accent1" w:themeTint="99" w:sz="4" w:space="0"/>
      </w:tblBorders>
    </w:tblPr>
    <w:tblStylePr w:type="firstRow">
      <w:rPr>
        <w:b/>
        <w:bCs/>
        <w:color w:val="FFFFFF" w:themeColor="background1"/>
        <w14:textFill>
          <w14:solidFill>
            <w14:schemeClr w14:val="bg1"/>
          </w14:solidFill>
        </w14:textFill>
      </w:rPr>
      <w:tcPr>
        <w:tcBorders>
          <w:top w:val="single" w:color="4472C4" w:themeColor="accent1" w:sz="4" w:space="0"/>
          <w:left w:val="single" w:color="4472C4" w:themeColor="accent1" w:sz="4" w:space="0"/>
          <w:bottom w:val="single" w:color="4472C4" w:themeColor="accent1" w:sz="4" w:space="0"/>
          <w:right w:val="single" w:color="4472C4" w:themeColor="accent1" w:sz="4" w:space="0"/>
          <w:insideH w:val="nil"/>
          <w:insideV w:val="nil"/>
        </w:tcBorders>
        <w:shd w:val="clear" w:color="auto" w:fill="4472C4" w:themeFill="accent1"/>
      </w:tcPr>
    </w:tblStylePr>
    <w:tblStylePr w:type="lastRow">
      <w:rPr>
        <w:b/>
        <w:bCs/>
      </w:rPr>
      <w:tcPr>
        <w:tcBorders>
          <w:top w:val="double" w:color="4472C4" w:themeColor="accent1" w:sz="4" w:space="0"/>
        </w:tcBorders>
      </w:tcPr>
    </w:tblStylePr>
    <w:tblStylePr w:type="firstCol">
      <w:rPr>
        <w:b/>
        <w:bCs/>
      </w:rPr>
    </w:tblStylePr>
    <w:tblStylePr w:type="lastCol">
      <w:rPr>
        <w:b/>
        <w:bCs/>
      </w:rPr>
    </w:tblStylePr>
    <w:tblStylePr w:type="band1Vert">
      <w:tcPr>
        <w:shd w:val="clear" w:color="auto" w:fill="D9E2F3" w:themeFill="accent1" w:themeFillTint="33"/>
      </w:tcPr>
    </w:tblStylePr>
    <w:tblStylePr w:type="band1Horz">
      <w:tcPr>
        <w:shd w:val="clear" w:color="auto" w:fill="D9E2F3" w:themeFill="accent1" w:themeFillTint="33"/>
      </w:tcPr>
    </w:tblStylePr>
  </w:style>
  <w:style w:type="character" w:customStyle="1" w:styleId="29">
    <w:name w:val="标题 2 字符"/>
    <w:basedOn w:val="18"/>
    <w:link w:val="3"/>
    <w:qFormat/>
    <w:uiPriority w:val="9"/>
    <w:rPr>
      <w:rFonts w:ascii="Times New Roman" w:hAnsi="Times New Roman" w:eastAsia="宋体" w:cstheme="majorBidi"/>
      <w:bCs/>
      <w:sz w:val="24"/>
      <w:szCs w:val="32"/>
    </w:rPr>
  </w:style>
  <w:style w:type="character" w:customStyle="1" w:styleId="30">
    <w:name w:val="尾注文本 字符"/>
    <w:basedOn w:val="18"/>
    <w:link w:val="8"/>
    <w:semiHidden/>
    <w:qFormat/>
    <w:uiPriority w:val="99"/>
  </w:style>
  <w:style w:type="character" w:styleId="31">
    <w:name w:val="Placeholder Text"/>
    <w:basedOn w:val="18"/>
    <w:semiHidden/>
    <w:qFormat/>
    <w:uiPriority w:val="99"/>
    <w:rPr>
      <w:color w:val="808080"/>
    </w:rPr>
  </w:style>
  <w:style w:type="paragraph" w:customStyle="1" w:styleId="32">
    <w:name w:val="正文段落"/>
    <w:basedOn w:val="23"/>
    <w:link w:val="35"/>
    <w:qFormat/>
    <w:uiPriority w:val="0"/>
    <w:pPr>
      <w:spacing w:line="360" w:lineRule="auto"/>
      <w:ind w:firstLine="200"/>
    </w:pPr>
    <w:rPr>
      <w:rFonts w:ascii="Times New Roman" w:hAnsi="Times New Roman" w:eastAsia="宋体" w:cs="Times New Roman"/>
      <w:sz w:val="24"/>
    </w:rPr>
  </w:style>
  <w:style w:type="character" w:customStyle="1" w:styleId="33">
    <w:name w:val="标题 3 字符"/>
    <w:basedOn w:val="18"/>
    <w:link w:val="4"/>
    <w:qFormat/>
    <w:uiPriority w:val="9"/>
    <w:rPr>
      <w:rFonts w:ascii="Times New Roman" w:hAnsi="Times New Roman" w:eastAsia="宋体"/>
      <w:bCs/>
      <w:sz w:val="24"/>
      <w:szCs w:val="32"/>
    </w:rPr>
  </w:style>
  <w:style w:type="character" w:customStyle="1" w:styleId="34">
    <w:name w:val="列表段落 字符"/>
    <w:basedOn w:val="18"/>
    <w:link w:val="23"/>
    <w:qFormat/>
    <w:uiPriority w:val="34"/>
  </w:style>
  <w:style w:type="character" w:customStyle="1" w:styleId="35">
    <w:name w:val="正文段落 字符"/>
    <w:basedOn w:val="34"/>
    <w:link w:val="32"/>
    <w:qFormat/>
    <w:uiPriority w:val="0"/>
    <w:rPr>
      <w:rFonts w:ascii="Times New Roman" w:hAnsi="Times New Roman" w:eastAsia="宋体" w:cs="Times New Roman"/>
      <w:sz w:val="24"/>
    </w:rPr>
  </w:style>
  <w:style w:type="character" w:customStyle="1" w:styleId="36">
    <w:name w:val="页眉 字符"/>
    <w:basedOn w:val="18"/>
    <w:link w:val="11"/>
    <w:qFormat/>
    <w:uiPriority w:val="99"/>
    <w:rPr>
      <w:sz w:val="18"/>
      <w:szCs w:val="18"/>
    </w:rPr>
  </w:style>
  <w:style w:type="character" w:customStyle="1" w:styleId="37">
    <w:name w:val="页脚 字符"/>
    <w:basedOn w:val="18"/>
    <w:link w:val="10"/>
    <w:qFormat/>
    <w:uiPriority w:val="99"/>
    <w:rPr>
      <w:sz w:val="18"/>
      <w:szCs w:val="18"/>
    </w:rPr>
  </w:style>
  <w:style w:type="paragraph" w:customStyle="1" w:styleId="38">
    <w:name w:val="Revision"/>
    <w:hidden/>
    <w:semiHidden/>
    <w:qFormat/>
    <w:uiPriority w:val="99"/>
    <w:rPr>
      <w:rFonts w:asciiTheme="minorHAnsi" w:hAnsiTheme="minorHAnsi" w:eastAsiaTheme="minorEastAsia" w:cstheme="minorBidi"/>
      <w:kern w:val="2"/>
      <w:sz w:val="21"/>
      <w:szCs w:val="22"/>
      <w:lang w:val="en-US" w:eastAsia="zh-CN" w:bidi="ar-SA"/>
    </w:rPr>
  </w:style>
  <w:style w:type="paragraph" w:customStyle="1" w:styleId="39">
    <w:name w:val="TOC Heading"/>
    <w:basedOn w:val="2"/>
    <w:next w:val="1"/>
    <w:unhideWhenUsed/>
    <w:qFormat/>
    <w:uiPriority w:val="39"/>
    <w:pPr>
      <w:widowControl/>
      <w:numPr>
        <w:numId w:val="0"/>
      </w:numPr>
      <w:spacing w:before="240" w:after="0" w:line="259" w:lineRule="auto"/>
      <w:jc w:val="left"/>
      <w:outlineLvl w:val="9"/>
    </w:pPr>
    <w:rPr>
      <w:rFonts w:asciiTheme="majorHAnsi" w:hAnsiTheme="majorHAnsi" w:eastAsiaTheme="majorEastAsia" w:cstheme="majorBidi"/>
      <w:b w:val="0"/>
      <w:bCs w:val="0"/>
      <w:color w:val="2F5597" w:themeColor="accent1" w:themeShade="BF"/>
      <w:kern w:val="0"/>
      <w:sz w:val="32"/>
      <w:szCs w:val="32"/>
    </w:rPr>
  </w:style>
  <w:style w:type="paragraph" w:customStyle="1" w:styleId="40">
    <w:name w:val="二级无"/>
    <w:basedOn w:val="41"/>
    <w:qFormat/>
    <w:uiPriority w:val="0"/>
    <w:pPr>
      <w:numPr>
        <w:ilvl w:val="2"/>
        <w:numId w:val="2"/>
      </w:numPr>
      <w:spacing w:before="0" w:beforeLines="0" w:after="0" w:afterLines="0"/>
    </w:pPr>
    <w:rPr>
      <w:rFonts w:ascii="宋体" w:eastAsia="宋体"/>
    </w:rPr>
  </w:style>
  <w:style w:type="paragraph" w:customStyle="1" w:styleId="41">
    <w:name w:val="二级条标题"/>
    <w:basedOn w:val="42"/>
    <w:next w:val="43"/>
    <w:qFormat/>
    <w:uiPriority w:val="0"/>
    <w:pPr>
      <w:numPr>
        <w:ilvl w:val="2"/>
        <w:numId w:val="2"/>
      </w:numPr>
      <w:spacing w:before="50" w:after="50"/>
      <w:outlineLvl w:val="3"/>
    </w:pPr>
  </w:style>
  <w:style w:type="paragraph" w:customStyle="1" w:styleId="42">
    <w:name w:val="一级条标题"/>
    <w:next w:val="43"/>
    <w:qFormat/>
    <w:uiPriority w:val="0"/>
    <w:pPr>
      <w:numPr>
        <w:ilvl w:val="1"/>
        <w:numId w:val="2"/>
      </w:numPr>
      <w:spacing w:before="156" w:beforeLines="50" w:after="156" w:afterLines="50"/>
      <w:outlineLvl w:val="2"/>
    </w:pPr>
    <w:rPr>
      <w:rFonts w:ascii="黑体" w:hAnsi="Times New Roman" w:eastAsia="黑体" w:cs="Times New Roman"/>
      <w:sz w:val="21"/>
      <w:szCs w:val="21"/>
      <w:lang w:val="en-US" w:eastAsia="zh-CN" w:bidi="ar-SA"/>
    </w:rPr>
  </w:style>
  <w:style w:type="paragraph" w:customStyle="1" w:styleId="43">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44">
    <w:name w:val="fontstyle01"/>
    <w:basedOn w:val="18"/>
    <w:qFormat/>
    <w:uiPriority w:val="0"/>
    <w:rPr>
      <w:rFonts w:hint="eastAsia" w:ascii="黑体" w:hAnsi="黑体" w:eastAsia="黑体"/>
      <w:color w:val="000000"/>
      <w:sz w:val="22"/>
      <w:szCs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B4705A-6F2B-41B1-AC52-1AC7F3EC862B}">
  <ds:schemaRefs/>
</ds:datastoreItem>
</file>

<file path=docProps/app.xml><?xml version="1.0" encoding="utf-8"?>
<Properties xmlns="http://schemas.openxmlformats.org/officeDocument/2006/extended-properties" xmlns:vt="http://schemas.openxmlformats.org/officeDocument/2006/docPropsVTypes">
  <Template>Normal.dotm</Template>
  <Pages>81</Pages>
  <Words>57229</Words>
  <Characters>63019</Characters>
  <Lines>481</Lines>
  <Paragraphs>135</Paragraphs>
  <TotalTime>0</TotalTime>
  <ScaleCrop>false</ScaleCrop>
  <LinksUpToDate>false</LinksUpToDate>
  <CharactersWithSpaces>63839</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2023-04-14T07:10:00Z</dcterms:created>
  <dc:creator>杜鹃</dc:creator>
  <cp:lastModifiedBy>WPS_1648786389</cp:lastModifiedBy>
  <cp:lastPrinted>2023-02-14T08:58:00Z</cp:lastPrinted>
  <dcterms:modified xsi:type="dcterms:W3CDTF">2024-09-06T10:34:31Z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21AA93C41BCF467DA580E88EB892A5AA_12</vt:lpwstr>
  </property>
</Properties>
</file>